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EA458" w14:textId="42A7B56F" w:rsidR="004F485C" w:rsidRDefault="00972F39">
      <w:pPr>
        <w:spacing w:beforeLines="50" w:before="156" w:afterLines="50" w:after="156" w:line="480" w:lineRule="exact"/>
        <w:ind w:left="558" w:hangingChars="155" w:hanging="558"/>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Cs/>
          <w:sz w:val="36"/>
          <w:szCs w:val="36"/>
        </w:rPr>
        <w:t>巡视巡察</w:t>
      </w:r>
      <w:r w:rsidR="0098712A">
        <w:rPr>
          <w:rFonts w:ascii="方正小标宋简体" w:eastAsia="方正小标宋简体" w:hAnsi="方正小标宋简体" w:cs="方正小标宋简体" w:hint="eastAsia"/>
          <w:bCs/>
          <w:sz w:val="36"/>
          <w:szCs w:val="36"/>
        </w:rPr>
        <w:t>学院</w:t>
      </w:r>
      <w:r>
        <w:rPr>
          <w:rFonts w:ascii="方正小标宋简体" w:eastAsia="方正小标宋简体" w:hAnsi="方正小标宋简体" w:cs="方正小标宋简体" w:hint="eastAsia"/>
          <w:bCs/>
          <w:sz w:val="36"/>
          <w:szCs w:val="36"/>
        </w:rPr>
        <w:t>巡视巡察</w:t>
      </w:r>
      <w:proofErr w:type="gramStart"/>
      <w:r w:rsidR="0098712A">
        <w:rPr>
          <w:rFonts w:ascii="方正小标宋简体" w:eastAsia="方正小标宋简体" w:hAnsi="方正小标宋简体" w:cs="方正小标宋简体" w:hint="eastAsia"/>
          <w:bCs/>
          <w:sz w:val="36"/>
          <w:szCs w:val="36"/>
        </w:rPr>
        <w:t>微专业</w:t>
      </w:r>
      <w:proofErr w:type="gramEnd"/>
      <w:r w:rsidR="0098712A">
        <w:rPr>
          <w:rFonts w:ascii="方正小标宋简体" w:eastAsia="方正小标宋简体" w:hAnsi="方正小标宋简体" w:cs="方正小标宋简体" w:hint="eastAsia"/>
          <w:bCs/>
          <w:sz w:val="36"/>
          <w:szCs w:val="36"/>
        </w:rPr>
        <w:t>人才培养方案</w:t>
      </w:r>
    </w:p>
    <w:p w14:paraId="76D41B57" w14:textId="77777777" w:rsidR="004F485C" w:rsidRDefault="004F485C">
      <w:pPr>
        <w:widowControl/>
        <w:spacing w:after="156" w:line="0" w:lineRule="atLeast"/>
        <w:ind w:firstLineChars="200" w:firstLine="560"/>
        <w:jc w:val="left"/>
        <w:rPr>
          <w:rFonts w:ascii="黑体" w:eastAsia="黑体" w:hAnsi="黑体" w:cs="黑体"/>
          <w:bCs/>
          <w:sz w:val="28"/>
          <w:szCs w:val="28"/>
        </w:rPr>
      </w:pPr>
    </w:p>
    <w:p w14:paraId="0F0F5949" w14:textId="77777777" w:rsidR="004F485C" w:rsidRDefault="0098712A">
      <w:pPr>
        <w:widowControl/>
        <w:spacing w:after="156" w:line="0" w:lineRule="atLeast"/>
        <w:ind w:firstLineChars="200" w:firstLine="560"/>
        <w:jc w:val="left"/>
        <w:rPr>
          <w:rFonts w:ascii="黑体" w:eastAsia="黑体" w:hAnsi="黑体" w:cs="黑体"/>
          <w:bCs/>
          <w:sz w:val="28"/>
          <w:szCs w:val="28"/>
        </w:rPr>
      </w:pPr>
      <w:r>
        <w:rPr>
          <w:rFonts w:ascii="黑体" w:eastAsia="黑体" w:hAnsi="黑体" w:cs="黑体" w:hint="eastAsia"/>
          <w:bCs/>
          <w:sz w:val="28"/>
          <w:szCs w:val="28"/>
        </w:rPr>
        <w:t>一、培养目标</w:t>
      </w:r>
    </w:p>
    <w:p w14:paraId="29E027DB" w14:textId="4A140495" w:rsidR="004F485C" w:rsidRDefault="00972F39" w:rsidP="00972F39">
      <w:pPr>
        <w:spacing w:line="360" w:lineRule="auto"/>
        <w:ind w:firstLineChars="200" w:firstLine="480"/>
        <w:jc w:val="left"/>
        <w:rPr>
          <w:rFonts w:ascii="宋体" w:hAnsi="宋体"/>
          <w:bCs/>
          <w:sz w:val="28"/>
          <w:szCs w:val="28"/>
        </w:rPr>
      </w:pPr>
      <w:r>
        <w:rPr>
          <w:rFonts w:ascii="宋体" w:hAnsi="宋体" w:hint="eastAsia"/>
          <w:sz w:val="24"/>
        </w:rPr>
        <w:t>巡视巡察</w:t>
      </w:r>
      <w:proofErr w:type="gramStart"/>
      <w:r>
        <w:rPr>
          <w:rFonts w:ascii="宋体" w:hAnsi="宋体" w:hint="eastAsia"/>
          <w:sz w:val="24"/>
        </w:rPr>
        <w:t>微专业</w:t>
      </w:r>
      <w:proofErr w:type="gramEnd"/>
      <w:r>
        <w:rPr>
          <w:rFonts w:ascii="宋体" w:hAnsi="宋体" w:hint="eastAsia"/>
          <w:sz w:val="24"/>
        </w:rPr>
        <w:t>立足辽宁，面向全国，对接国家重大战略需求,积极服务区域经济社会发展，培养具有坚定的政治立场，全面掌握马克思主义基本原理，深入领会习近平新时代中国特色社会主义思想，熟悉党内法规和国家法律法规，具备扎实的巡视巡察理论基础和实践技能，包括政治鉴别能力、沟通协调能力、调查研究能力、文字表达能力等，能够在各级党政机关、企事业单位、纪检监察机构等从事巡视巡察、党内法规研究、廉政廉洁文化教育等工作的高素质复合型专门人才。学生毕业5年左右预期能够成长为单位的业务骨干，具备独立开展巡视巡察项目、解决复杂问题的能力，并能不断适应行业发展和变化，在专业领域持续发展。</w:t>
      </w:r>
    </w:p>
    <w:p w14:paraId="07C8CDDE" w14:textId="77777777" w:rsidR="004F485C" w:rsidRDefault="0098712A">
      <w:pPr>
        <w:widowControl/>
        <w:spacing w:after="156" w:line="0" w:lineRule="atLeast"/>
        <w:ind w:firstLineChars="200" w:firstLine="560"/>
        <w:jc w:val="left"/>
        <w:rPr>
          <w:rFonts w:ascii="黑体" w:eastAsia="黑体" w:hAnsi="黑体" w:cs="黑体"/>
          <w:bCs/>
          <w:sz w:val="28"/>
          <w:szCs w:val="28"/>
        </w:rPr>
      </w:pPr>
      <w:r>
        <w:rPr>
          <w:rFonts w:ascii="黑体" w:eastAsia="黑体" w:hAnsi="黑体" w:cs="黑体" w:hint="eastAsia"/>
          <w:bCs/>
          <w:sz w:val="28"/>
          <w:szCs w:val="28"/>
        </w:rPr>
        <w:t>二、毕业要求</w:t>
      </w:r>
    </w:p>
    <w:p w14:paraId="01C53441" w14:textId="77777777" w:rsidR="00972F39" w:rsidRDefault="00972F39" w:rsidP="00972F39">
      <w:pPr>
        <w:spacing w:line="360" w:lineRule="auto"/>
        <w:ind w:firstLineChars="200" w:firstLine="482"/>
        <w:jc w:val="left"/>
        <w:rPr>
          <w:rFonts w:ascii="宋体" w:hAnsi="宋体"/>
          <w:b/>
          <w:sz w:val="24"/>
        </w:rPr>
      </w:pPr>
      <w:r>
        <w:rPr>
          <w:rFonts w:ascii="宋体" w:hAnsi="宋体" w:hint="eastAsia"/>
          <w:b/>
          <w:sz w:val="24"/>
        </w:rPr>
        <w:t>1.素质要求</w:t>
      </w:r>
    </w:p>
    <w:p w14:paraId="05724D00"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（1）具有坚定的政治立场，热爱祖国，拥护中国共产党的领导，掌握中国特色社会主义法治理论体系，牢固树立正确的世界观、人生观、价值观。</w:t>
      </w:r>
    </w:p>
    <w:p w14:paraId="0D00B300"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 xml:space="preserve">（2）具备良好的职业道德和职业操守，忠诚干净担当，严守巡视巡察工作纪律；具有较强的团队协作精神和沟通能力，能够在团队中有效发挥作用，具有服务于建设社会主义法治国家的责任感和使命感。 </w:t>
      </w:r>
    </w:p>
    <w:p w14:paraId="6EDFC1BB" w14:textId="77777777" w:rsidR="00972F39" w:rsidRDefault="00972F39" w:rsidP="00972F39">
      <w:pPr>
        <w:spacing w:line="360" w:lineRule="auto"/>
        <w:ind w:firstLineChars="200" w:firstLine="482"/>
        <w:jc w:val="left"/>
        <w:rPr>
          <w:rFonts w:ascii="宋体" w:hAnsi="宋体" w:hint="eastAsia"/>
          <w:b/>
          <w:sz w:val="24"/>
        </w:rPr>
      </w:pPr>
      <w:r>
        <w:rPr>
          <w:rFonts w:ascii="宋体" w:hAnsi="宋体" w:hint="eastAsia"/>
          <w:b/>
          <w:sz w:val="24"/>
        </w:rPr>
        <w:t>2.知识要求</w:t>
      </w:r>
    </w:p>
    <w:p w14:paraId="19182377"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（1）掌握政治学、法学、管理学、纪检</w:t>
      </w:r>
      <w:proofErr w:type="gramStart"/>
      <w:r>
        <w:rPr>
          <w:rFonts w:ascii="宋体" w:hAnsi="宋体" w:hint="eastAsia"/>
          <w:sz w:val="24"/>
        </w:rPr>
        <w:t>监察学</w:t>
      </w:r>
      <w:proofErr w:type="gramEnd"/>
      <w:r>
        <w:rPr>
          <w:rFonts w:ascii="宋体" w:hAnsi="宋体" w:hint="eastAsia"/>
          <w:sz w:val="24"/>
        </w:rPr>
        <w:t>等相关学科的基本理论和知识。</w:t>
      </w:r>
    </w:p>
    <w:p w14:paraId="4E155AD4"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（2）熟悉党内法规体系，包括《中国共产党章程》《中国共产党巡视工作条例》《中国共产党纪律处分条例》等。</w:t>
      </w:r>
    </w:p>
    <w:p w14:paraId="244A659D"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（3）了解国家法律法规，特别是与监督执纪、廉政建设相关的法律规定；掌握调查研究、数据分析、报告撰写等巡视巡察工作所需的基本知识和技能。</w:t>
      </w:r>
    </w:p>
    <w:p w14:paraId="5528EF68" w14:textId="77777777" w:rsidR="00972F39" w:rsidRDefault="00972F39" w:rsidP="00972F39">
      <w:pPr>
        <w:spacing w:line="360" w:lineRule="auto"/>
        <w:ind w:firstLineChars="200" w:firstLine="482"/>
        <w:jc w:val="left"/>
        <w:rPr>
          <w:rFonts w:ascii="宋体" w:hAnsi="宋体" w:hint="eastAsia"/>
          <w:b/>
          <w:sz w:val="24"/>
        </w:rPr>
      </w:pPr>
      <w:r>
        <w:rPr>
          <w:rFonts w:ascii="宋体" w:hAnsi="宋体" w:hint="eastAsia"/>
          <w:b/>
          <w:sz w:val="24"/>
        </w:rPr>
        <w:t>3.能力要求</w:t>
      </w:r>
    </w:p>
    <w:p w14:paraId="1E754B8A"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（1）具备较强的政治鉴别能力，能够准确把握政治方向，从政治角度分析和解决问题。</w:t>
      </w:r>
    </w:p>
    <w:p w14:paraId="14DFB00C"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（2）具备良好的沟通协调能力，能够与不同层次的人员进行有效沟通，协调各方资源开展工作。</w:t>
      </w:r>
    </w:p>
    <w:p w14:paraId="647177B3"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（3）具备较强的调查研究能力，能够运用科学的方法收集、分析和处理信息，发</w:t>
      </w:r>
      <w:r>
        <w:rPr>
          <w:rFonts w:ascii="宋体" w:hAnsi="宋体" w:hint="eastAsia"/>
          <w:sz w:val="24"/>
        </w:rPr>
        <w:lastRenderedPageBreak/>
        <w:t>现问题并提出解决方案。</w:t>
      </w:r>
    </w:p>
    <w:p w14:paraId="700A08D5" w14:textId="3346253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（4）具备一定的文字表达能力，能够撰写高质量巡视巡察报告、工作总结等文书。</w:t>
      </w:r>
    </w:p>
    <w:p w14:paraId="4C01C86B" w14:textId="77777777" w:rsidR="00972F39" w:rsidRDefault="00972F39" w:rsidP="00972F39">
      <w:pPr>
        <w:spacing w:line="360" w:lineRule="auto"/>
        <w:ind w:firstLineChars="200" w:firstLine="482"/>
        <w:jc w:val="left"/>
        <w:rPr>
          <w:rFonts w:ascii="宋体" w:hAnsi="宋体" w:hint="eastAsia"/>
          <w:b/>
          <w:sz w:val="24"/>
        </w:rPr>
      </w:pPr>
      <w:r>
        <w:rPr>
          <w:rFonts w:ascii="宋体" w:hAnsi="宋体" w:hint="eastAsia"/>
          <w:b/>
          <w:sz w:val="24"/>
        </w:rPr>
        <w:t>4.社会服务</w:t>
      </w:r>
    </w:p>
    <w:p w14:paraId="7B728038"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（1）创新能力。掌握进行创造活动的思维方法和批判精神，能开展科学研究工作，具有一定的创新思维、探索能力及社会责任感。</w:t>
      </w:r>
    </w:p>
    <w:p w14:paraId="72ADCBE4" w14:textId="77777777" w:rsidR="00972F39" w:rsidRDefault="00972F39" w:rsidP="00972F39">
      <w:pPr>
        <w:spacing w:line="360" w:lineRule="auto"/>
        <w:ind w:firstLineChars="200" w:firstLine="480"/>
        <w:jc w:val="left"/>
        <w:rPr>
          <w:rFonts w:ascii="宋体" w:hAnsi="宋体" w:hint="eastAsia"/>
          <w:sz w:val="24"/>
        </w:rPr>
      </w:pPr>
      <w:r>
        <w:rPr>
          <w:rFonts w:ascii="宋体" w:hAnsi="宋体" w:hint="eastAsia"/>
          <w:sz w:val="24"/>
        </w:rPr>
        <w:t>（2）比较系统地掌握一门外语，掌握计算机软硬件技术的基本知识，具有运用现代信息技术开展工作的能力，能够熟练使用办公软件和相关数据分析工具。</w:t>
      </w:r>
    </w:p>
    <w:p w14:paraId="5EC44F5D" w14:textId="1073EB3C" w:rsidR="004F485C" w:rsidRPr="00972F39" w:rsidRDefault="00972F39" w:rsidP="00972F39">
      <w:pPr>
        <w:widowControl/>
        <w:spacing w:after="156" w:line="360" w:lineRule="auto"/>
        <w:ind w:firstLineChars="200" w:firstLine="480"/>
        <w:jc w:val="left"/>
        <w:rPr>
          <w:rFonts w:ascii="宋体" w:hAnsi="宋体"/>
          <w:sz w:val="24"/>
        </w:rPr>
      </w:pPr>
      <w:r>
        <w:rPr>
          <w:rFonts w:ascii="宋体" w:hAnsi="宋体" w:hint="eastAsia"/>
          <w:sz w:val="24"/>
        </w:rPr>
        <w:t>（3）能够在各级党政机关、企事业单位、纪检监察部门、社会服务机构等岗位上胜任各级巡视巡察工作，能够为各级政府及相关部门献言献策，为辽宁区域社会发展、全面振兴提供高质量的资政建议。</w:t>
      </w:r>
    </w:p>
    <w:p w14:paraId="1B939917" w14:textId="77777777" w:rsidR="004F485C" w:rsidRDefault="0098712A">
      <w:pPr>
        <w:spacing w:beforeLines="50" w:before="156" w:afterLines="50" w:after="156" w:line="480" w:lineRule="exact"/>
        <w:ind w:firstLineChars="200" w:firstLine="560"/>
        <w:rPr>
          <w:rFonts w:ascii="宋体" w:hAnsi="宋体"/>
          <w:b/>
          <w:sz w:val="28"/>
          <w:szCs w:val="28"/>
        </w:rPr>
      </w:pPr>
      <w:r>
        <w:rPr>
          <w:rFonts w:ascii="黑体" w:eastAsia="黑体" w:hAnsi="黑体" w:cs="黑体" w:hint="eastAsia"/>
          <w:bCs/>
          <w:sz w:val="28"/>
          <w:szCs w:val="28"/>
        </w:rPr>
        <w:t>三、招生对象与条件</w:t>
      </w:r>
    </w:p>
    <w:p w14:paraId="5FE823CF" w14:textId="77777777" w:rsidR="00972F39" w:rsidRDefault="00972F39" w:rsidP="00CC3575">
      <w:pPr>
        <w:spacing w:line="360" w:lineRule="auto"/>
        <w:ind w:firstLineChars="200" w:firstLine="480"/>
        <w:jc w:val="left"/>
        <w:rPr>
          <w:rFonts w:ascii="宋体" w:hAnsi="宋体"/>
          <w:sz w:val="24"/>
        </w:rPr>
      </w:pPr>
      <w:r>
        <w:rPr>
          <w:rFonts w:ascii="宋体" w:hAnsi="宋体" w:hint="eastAsia"/>
          <w:sz w:val="24"/>
        </w:rPr>
        <w:t>招生专业：不限</w:t>
      </w:r>
    </w:p>
    <w:p w14:paraId="67B2B655" w14:textId="77777777" w:rsidR="00972F39" w:rsidRDefault="00972F39" w:rsidP="00CC3575">
      <w:pPr>
        <w:spacing w:line="360" w:lineRule="auto"/>
        <w:ind w:firstLineChars="200" w:firstLine="480"/>
        <w:jc w:val="left"/>
        <w:rPr>
          <w:rFonts w:ascii="宋体" w:hAnsi="宋体" w:hint="eastAsia"/>
          <w:sz w:val="24"/>
        </w:rPr>
      </w:pPr>
      <w:r>
        <w:rPr>
          <w:rFonts w:ascii="宋体" w:hAnsi="宋体" w:hint="eastAsia"/>
          <w:sz w:val="24"/>
        </w:rPr>
        <w:t>招生年级：2025级、2024级、2023级本科生</w:t>
      </w:r>
    </w:p>
    <w:p w14:paraId="15ECA632" w14:textId="65D40399" w:rsidR="004F485C" w:rsidRPr="00CC3575" w:rsidRDefault="00972F39" w:rsidP="00CC3575">
      <w:pPr>
        <w:spacing w:line="360" w:lineRule="auto"/>
        <w:ind w:firstLineChars="200" w:firstLine="480"/>
        <w:jc w:val="left"/>
        <w:rPr>
          <w:rFonts w:ascii="宋体" w:hAnsi="宋体"/>
          <w:sz w:val="24"/>
        </w:rPr>
      </w:pPr>
      <w:r>
        <w:rPr>
          <w:rFonts w:ascii="宋体" w:hAnsi="宋体" w:hint="eastAsia"/>
          <w:sz w:val="24"/>
        </w:rPr>
        <w:t>先修课程要求：已修公共基础类课程合格</w:t>
      </w:r>
    </w:p>
    <w:p w14:paraId="09EE98B0" w14:textId="77777777" w:rsidR="004F485C" w:rsidRDefault="0098712A">
      <w:pPr>
        <w:spacing w:beforeLines="50" w:before="156" w:afterLines="50" w:after="156" w:line="48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四、学分与证书</w:t>
      </w:r>
    </w:p>
    <w:p w14:paraId="519251A0" w14:textId="77777777" w:rsidR="004F485C" w:rsidRDefault="0098712A" w:rsidP="009B4B29">
      <w:pPr>
        <w:spacing w:line="360" w:lineRule="auto"/>
        <w:ind w:firstLineChars="200" w:firstLine="480"/>
        <w:jc w:val="left"/>
        <w:rPr>
          <w:rFonts w:ascii="宋体" w:hAnsi="宋体"/>
          <w:bCs/>
          <w:sz w:val="28"/>
          <w:szCs w:val="28"/>
        </w:rPr>
      </w:pPr>
      <w:r w:rsidRPr="009B4B29">
        <w:rPr>
          <w:rFonts w:ascii="宋体" w:hAnsi="宋体" w:hint="eastAsia"/>
          <w:sz w:val="24"/>
        </w:rPr>
        <w:t>学生在本科毕业或结业离校前，修读完成</w:t>
      </w:r>
      <w:proofErr w:type="gramStart"/>
      <w:r w:rsidRPr="009B4B29">
        <w:rPr>
          <w:rFonts w:ascii="宋体" w:hAnsi="宋体" w:hint="eastAsia"/>
          <w:sz w:val="24"/>
        </w:rPr>
        <w:t>微专业</w:t>
      </w:r>
      <w:proofErr w:type="gramEnd"/>
      <w:r w:rsidRPr="009B4B29">
        <w:rPr>
          <w:rFonts w:ascii="宋体" w:hAnsi="宋体" w:hint="eastAsia"/>
          <w:sz w:val="24"/>
        </w:rPr>
        <w:t>培养方案规定的课程，且成绩全部合格，获得相应学分，学校颁发</w:t>
      </w:r>
      <w:proofErr w:type="gramStart"/>
      <w:r w:rsidRPr="009B4B29">
        <w:rPr>
          <w:rFonts w:ascii="宋体" w:hAnsi="宋体" w:hint="eastAsia"/>
          <w:sz w:val="24"/>
        </w:rPr>
        <w:t>微专</w:t>
      </w:r>
      <w:proofErr w:type="gramEnd"/>
      <w:r w:rsidRPr="009B4B29">
        <w:rPr>
          <w:rFonts w:ascii="宋体" w:hAnsi="宋体" w:hint="eastAsia"/>
          <w:sz w:val="24"/>
        </w:rPr>
        <w:t>业证书。</w:t>
      </w:r>
    </w:p>
    <w:p w14:paraId="73DD1E29" w14:textId="77777777" w:rsidR="004F485C" w:rsidRDefault="0098712A">
      <w:pPr>
        <w:spacing w:beforeLines="50" w:before="156" w:afterLines="50" w:after="156" w:line="48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五、指导性教学计划进度表</w:t>
      </w:r>
    </w:p>
    <w:tbl>
      <w:tblPr>
        <w:tblpPr w:leftFromText="180" w:rightFromText="180" w:vertAnchor="text" w:horzAnchor="page" w:tblpXSpec="center" w:tblpY="519"/>
        <w:tblOverlap w:val="never"/>
        <w:tblW w:w="50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714"/>
        <w:gridCol w:w="1135"/>
        <w:gridCol w:w="709"/>
        <w:gridCol w:w="707"/>
        <w:gridCol w:w="761"/>
        <w:gridCol w:w="944"/>
        <w:gridCol w:w="1280"/>
      </w:tblGrid>
      <w:tr w:rsidR="009B4B29" w14:paraId="0FAE4B7A" w14:textId="77777777" w:rsidTr="009B4B29">
        <w:trPr>
          <w:trHeight w:val="416"/>
          <w:jc w:val="center"/>
        </w:trPr>
        <w:tc>
          <w:tcPr>
            <w:tcW w:w="1651" w:type="pct"/>
            <w:vMerge w:val="restart"/>
            <w:vAlign w:val="center"/>
          </w:tcPr>
          <w:p w14:paraId="731E0B26" w14:textId="1BB8712A" w:rsidR="004F485C" w:rsidRDefault="0098712A">
            <w:pPr>
              <w:widowControl/>
              <w:jc w:val="center"/>
              <w:rPr>
                <w:rFonts w:ascii="黑体" w:eastAsia="黑体" w:hAnsi="黑体"/>
                <w:bCs/>
                <w:sz w:val="21"/>
                <w:szCs w:val="21"/>
              </w:rPr>
            </w:pPr>
            <w:r>
              <w:rPr>
                <w:rFonts w:ascii="黑体" w:eastAsia="黑体" w:hAnsi="黑体" w:hint="eastAsia"/>
                <w:bCs/>
                <w:sz w:val="21"/>
                <w:szCs w:val="21"/>
              </w:rPr>
              <w:t>课程名称</w:t>
            </w:r>
          </w:p>
        </w:tc>
        <w:tc>
          <w:tcPr>
            <w:tcW w:w="382" w:type="pct"/>
            <w:vMerge w:val="restart"/>
            <w:vAlign w:val="center"/>
          </w:tcPr>
          <w:p w14:paraId="635226AE" w14:textId="77777777" w:rsidR="004F485C" w:rsidRDefault="0098712A">
            <w:pPr>
              <w:widowControl/>
              <w:jc w:val="center"/>
              <w:rPr>
                <w:rFonts w:ascii="黑体" w:eastAsia="黑体" w:hAnsi="黑体"/>
                <w:bCs/>
                <w:spacing w:val="20"/>
                <w:sz w:val="21"/>
                <w:szCs w:val="21"/>
              </w:rPr>
            </w:pPr>
            <w:r>
              <w:rPr>
                <w:rFonts w:ascii="黑体" w:eastAsia="黑体" w:hAnsi="黑体" w:hint="eastAsia"/>
                <w:bCs/>
                <w:sz w:val="21"/>
                <w:szCs w:val="21"/>
              </w:rPr>
              <w:t>学分</w:t>
            </w:r>
          </w:p>
        </w:tc>
        <w:tc>
          <w:tcPr>
            <w:tcW w:w="608" w:type="pct"/>
            <w:vMerge w:val="restart"/>
            <w:vAlign w:val="center"/>
          </w:tcPr>
          <w:p w14:paraId="0365D00D" w14:textId="77777777" w:rsidR="004F485C" w:rsidRDefault="0098712A">
            <w:pPr>
              <w:widowControl/>
              <w:jc w:val="center"/>
              <w:rPr>
                <w:rFonts w:ascii="黑体" w:eastAsia="黑体" w:hAnsi="黑体"/>
                <w:bCs/>
                <w:sz w:val="21"/>
                <w:szCs w:val="21"/>
              </w:rPr>
            </w:pPr>
            <w:r>
              <w:rPr>
                <w:rFonts w:ascii="黑体" w:eastAsia="黑体" w:hAnsi="黑体"/>
                <w:bCs/>
                <w:sz w:val="21"/>
                <w:szCs w:val="21"/>
              </w:rPr>
              <w:t>总学时</w:t>
            </w:r>
          </w:p>
        </w:tc>
        <w:tc>
          <w:tcPr>
            <w:tcW w:w="759" w:type="pct"/>
            <w:gridSpan w:val="2"/>
            <w:vAlign w:val="center"/>
          </w:tcPr>
          <w:p w14:paraId="3C77B4F1" w14:textId="77777777" w:rsidR="004F485C" w:rsidRDefault="0098712A">
            <w:pPr>
              <w:widowControl/>
              <w:snapToGrid w:val="0"/>
              <w:jc w:val="center"/>
              <w:rPr>
                <w:rFonts w:ascii="黑体" w:eastAsia="黑体" w:hAnsi="黑体"/>
                <w:bCs/>
                <w:sz w:val="21"/>
                <w:szCs w:val="21"/>
              </w:rPr>
            </w:pPr>
            <w:r>
              <w:rPr>
                <w:rFonts w:ascii="黑体" w:eastAsia="黑体" w:hAnsi="黑体" w:hint="eastAsia"/>
                <w:bCs/>
                <w:sz w:val="21"/>
                <w:szCs w:val="21"/>
              </w:rPr>
              <w:t>学时分配</w:t>
            </w:r>
          </w:p>
        </w:tc>
        <w:tc>
          <w:tcPr>
            <w:tcW w:w="408" w:type="pct"/>
            <w:vMerge w:val="restart"/>
            <w:vAlign w:val="center"/>
          </w:tcPr>
          <w:p w14:paraId="7C11EAC4" w14:textId="77777777" w:rsidR="004F485C" w:rsidRDefault="0098712A">
            <w:pPr>
              <w:widowControl/>
              <w:snapToGrid w:val="0"/>
              <w:jc w:val="center"/>
              <w:rPr>
                <w:rFonts w:ascii="黑体" w:eastAsia="黑体" w:hAnsi="黑体"/>
                <w:bCs/>
                <w:sz w:val="21"/>
                <w:szCs w:val="21"/>
              </w:rPr>
            </w:pPr>
            <w:r>
              <w:rPr>
                <w:rFonts w:ascii="黑体" w:eastAsia="黑体" w:hAnsi="黑体" w:hint="eastAsia"/>
                <w:bCs/>
                <w:sz w:val="21"/>
                <w:szCs w:val="21"/>
              </w:rPr>
              <w:t>课程性质</w:t>
            </w:r>
          </w:p>
        </w:tc>
        <w:tc>
          <w:tcPr>
            <w:tcW w:w="506" w:type="pct"/>
            <w:vMerge w:val="restart"/>
            <w:vAlign w:val="center"/>
          </w:tcPr>
          <w:p w14:paraId="12612146" w14:textId="77777777" w:rsidR="009B4B29" w:rsidRDefault="0098712A">
            <w:pPr>
              <w:widowControl/>
              <w:snapToGrid w:val="0"/>
              <w:jc w:val="center"/>
              <w:rPr>
                <w:rFonts w:ascii="黑体" w:eastAsia="黑体" w:hAnsi="黑体"/>
                <w:bCs/>
                <w:sz w:val="21"/>
                <w:szCs w:val="21"/>
              </w:rPr>
            </w:pPr>
            <w:r>
              <w:rPr>
                <w:rFonts w:ascii="黑体" w:eastAsia="黑体" w:hAnsi="黑体" w:hint="eastAsia"/>
                <w:bCs/>
                <w:sz w:val="21"/>
                <w:szCs w:val="21"/>
              </w:rPr>
              <w:t>考核</w:t>
            </w:r>
          </w:p>
          <w:p w14:paraId="0CBD7C40" w14:textId="70DABBBC" w:rsidR="004F485C" w:rsidRDefault="0098712A">
            <w:pPr>
              <w:widowControl/>
              <w:snapToGrid w:val="0"/>
              <w:jc w:val="center"/>
              <w:rPr>
                <w:rFonts w:ascii="黑体" w:eastAsia="黑体" w:hAnsi="黑体"/>
                <w:bCs/>
                <w:sz w:val="21"/>
                <w:szCs w:val="21"/>
              </w:rPr>
            </w:pPr>
            <w:r>
              <w:rPr>
                <w:rFonts w:ascii="黑体" w:eastAsia="黑体" w:hAnsi="黑体" w:hint="eastAsia"/>
                <w:bCs/>
                <w:sz w:val="21"/>
                <w:szCs w:val="21"/>
              </w:rPr>
              <w:t>方式</w:t>
            </w:r>
          </w:p>
        </w:tc>
        <w:tc>
          <w:tcPr>
            <w:tcW w:w="687" w:type="pct"/>
            <w:vMerge w:val="restart"/>
            <w:vAlign w:val="center"/>
          </w:tcPr>
          <w:p w14:paraId="10BEE860" w14:textId="77777777" w:rsidR="004F485C" w:rsidRDefault="0098712A">
            <w:pPr>
              <w:widowControl/>
              <w:snapToGrid w:val="0"/>
              <w:jc w:val="center"/>
              <w:rPr>
                <w:rFonts w:ascii="黑体" w:eastAsia="黑体" w:hAnsi="黑体"/>
                <w:bCs/>
                <w:sz w:val="21"/>
                <w:szCs w:val="21"/>
              </w:rPr>
            </w:pPr>
            <w:r>
              <w:rPr>
                <w:rFonts w:ascii="黑体" w:eastAsia="黑体" w:hAnsi="黑体"/>
                <w:bCs/>
                <w:sz w:val="21"/>
                <w:szCs w:val="21"/>
              </w:rPr>
              <w:t>开课</w:t>
            </w:r>
            <w:r>
              <w:rPr>
                <w:rFonts w:ascii="黑体" w:eastAsia="黑体" w:hAnsi="黑体" w:hint="eastAsia"/>
                <w:bCs/>
                <w:spacing w:val="20"/>
                <w:sz w:val="21"/>
                <w:szCs w:val="21"/>
              </w:rPr>
              <w:t>学期</w:t>
            </w:r>
          </w:p>
        </w:tc>
      </w:tr>
      <w:tr w:rsidR="009B4B29" w14:paraId="0DD739DB" w14:textId="77777777" w:rsidTr="009B4B29">
        <w:trPr>
          <w:trHeight w:val="358"/>
          <w:jc w:val="center"/>
        </w:trPr>
        <w:tc>
          <w:tcPr>
            <w:tcW w:w="1651" w:type="pct"/>
            <w:vMerge/>
            <w:vAlign w:val="center"/>
          </w:tcPr>
          <w:p w14:paraId="0F806629" w14:textId="77777777" w:rsidR="004F485C" w:rsidRDefault="004F485C">
            <w:pPr>
              <w:widowControl/>
              <w:jc w:val="center"/>
              <w:rPr>
                <w:rFonts w:ascii="黑体" w:eastAsia="黑体" w:hAnsi="黑体"/>
                <w:bCs/>
                <w:sz w:val="21"/>
                <w:szCs w:val="21"/>
              </w:rPr>
            </w:pPr>
          </w:p>
        </w:tc>
        <w:tc>
          <w:tcPr>
            <w:tcW w:w="382" w:type="pct"/>
            <w:vMerge/>
            <w:tcBorders>
              <w:bottom w:val="single" w:sz="4" w:space="0" w:color="auto"/>
            </w:tcBorders>
            <w:vAlign w:val="center"/>
          </w:tcPr>
          <w:p w14:paraId="4FB52F29" w14:textId="77777777" w:rsidR="004F485C" w:rsidRDefault="004F485C">
            <w:pPr>
              <w:widowControl/>
              <w:jc w:val="center"/>
              <w:rPr>
                <w:rFonts w:ascii="黑体" w:eastAsia="黑体" w:hAnsi="黑体"/>
                <w:bCs/>
                <w:sz w:val="21"/>
                <w:szCs w:val="21"/>
              </w:rPr>
            </w:pPr>
          </w:p>
        </w:tc>
        <w:tc>
          <w:tcPr>
            <w:tcW w:w="608" w:type="pct"/>
            <w:vMerge/>
            <w:vAlign w:val="center"/>
          </w:tcPr>
          <w:p w14:paraId="039AE33D" w14:textId="77777777" w:rsidR="004F485C" w:rsidRDefault="004F485C">
            <w:pPr>
              <w:widowControl/>
              <w:jc w:val="center"/>
              <w:rPr>
                <w:rFonts w:ascii="黑体" w:eastAsia="黑体" w:hAnsi="黑体"/>
                <w:bCs/>
                <w:sz w:val="21"/>
                <w:szCs w:val="21"/>
              </w:rPr>
            </w:pPr>
          </w:p>
        </w:tc>
        <w:tc>
          <w:tcPr>
            <w:tcW w:w="380" w:type="pct"/>
            <w:vAlign w:val="center"/>
          </w:tcPr>
          <w:p w14:paraId="0D1B5BF6" w14:textId="77777777" w:rsidR="004F485C" w:rsidRDefault="0098712A">
            <w:pPr>
              <w:widowControl/>
              <w:snapToGrid w:val="0"/>
              <w:jc w:val="center"/>
              <w:rPr>
                <w:rFonts w:ascii="黑体" w:eastAsia="黑体" w:hAnsi="黑体"/>
                <w:bCs/>
                <w:sz w:val="21"/>
                <w:szCs w:val="21"/>
              </w:rPr>
            </w:pPr>
            <w:r>
              <w:rPr>
                <w:rFonts w:ascii="黑体" w:eastAsia="黑体" w:hAnsi="黑体" w:hint="eastAsia"/>
                <w:bCs/>
                <w:sz w:val="21"/>
                <w:szCs w:val="21"/>
              </w:rPr>
              <w:t>理论</w:t>
            </w:r>
          </w:p>
        </w:tc>
        <w:tc>
          <w:tcPr>
            <w:tcW w:w="379" w:type="pct"/>
            <w:vAlign w:val="center"/>
          </w:tcPr>
          <w:p w14:paraId="1ACC9105" w14:textId="77777777" w:rsidR="004F485C" w:rsidRDefault="0098712A">
            <w:pPr>
              <w:widowControl/>
              <w:snapToGrid w:val="0"/>
              <w:jc w:val="center"/>
              <w:rPr>
                <w:rFonts w:ascii="黑体" w:eastAsia="黑体" w:hAnsi="黑体"/>
                <w:bCs/>
                <w:sz w:val="21"/>
                <w:szCs w:val="21"/>
              </w:rPr>
            </w:pPr>
            <w:r>
              <w:rPr>
                <w:rFonts w:ascii="黑体" w:eastAsia="黑体" w:hAnsi="黑体" w:hint="eastAsia"/>
                <w:bCs/>
                <w:sz w:val="21"/>
                <w:szCs w:val="21"/>
              </w:rPr>
              <w:t>实践</w:t>
            </w:r>
          </w:p>
        </w:tc>
        <w:tc>
          <w:tcPr>
            <w:tcW w:w="408" w:type="pct"/>
            <w:vMerge/>
            <w:vAlign w:val="center"/>
          </w:tcPr>
          <w:p w14:paraId="65951E38" w14:textId="77777777" w:rsidR="004F485C" w:rsidRDefault="004F485C">
            <w:pPr>
              <w:widowControl/>
              <w:snapToGrid w:val="0"/>
              <w:jc w:val="center"/>
              <w:rPr>
                <w:rFonts w:ascii="黑体" w:eastAsia="黑体" w:hAnsi="黑体"/>
                <w:bCs/>
                <w:sz w:val="21"/>
                <w:szCs w:val="21"/>
              </w:rPr>
            </w:pPr>
          </w:p>
        </w:tc>
        <w:tc>
          <w:tcPr>
            <w:tcW w:w="506" w:type="pct"/>
            <w:vMerge/>
            <w:tcBorders>
              <w:bottom w:val="single" w:sz="4" w:space="0" w:color="auto"/>
            </w:tcBorders>
            <w:vAlign w:val="center"/>
          </w:tcPr>
          <w:p w14:paraId="3B8BD0E3" w14:textId="77777777" w:rsidR="004F485C" w:rsidRDefault="004F485C">
            <w:pPr>
              <w:widowControl/>
              <w:snapToGrid w:val="0"/>
              <w:jc w:val="center"/>
              <w:rPr>
                <w:rFonts w:ascii="黑体" w:eastAsia="黑体" w:hAnsi="黑体"/>
                <w:bCs/>
                <w:sz w:val="21"/>
                <w:szCs w:val="21"/>
              </w:rPr>
            </w:pPr>
          </w:p>
        </w:tc>
        <w:tc>
          <w:tcPr>
            <w:tcW w:w="687" w:type="pct"/>
            <w:vMerge/>
            <w:tcBorders>
              <w:bottom w:val="single" w:sz="4" w:space="0" w:color="auto"/>
            </w:tcBorders>
            <w:vAlign w:val="center"/>
          </w:tcPr>
          <w:p w14:paraId="66ADE460" w14:textId="77777777" w:rsidR="004F485C" w:rsidRDefault="004F485C">
            <w:pPr>
              <w:widowControl/>
              <w:snapToGrid w:val="0"/>
              <w:jc w:val="center"/>
              <w:rPr>
                <w:rFonts w:ascii="黑体" w:eastAsia="黑体" w:hAnsi="黑体"/>
                <w:bCs/>
                <w:sz w:val="21"/>
                <w:szCs w:val="21"/>
              </w:rPr>
            </w:pPr>
          </w:p>
        </w:tc>
      </w:tr>
      <w:tr w:rsidR="009B4B29" w14:paraId="4254B183" w14:textId="77777777" w:rsidTr="009B4B29">
        <w:trPr>
          <w:trHeight w:val="453"/>
          <w:jc w:val="center"/>
        </w:trPr>
        <w:tc>
          <w:tcPr>
            <w:tcW w:w="1651" w:type="pct"/>
            <w:vAlign w:val="center"/>
          </w:tcPr>
          <w:p w14:paraId="691CB915" w14:textId="3594D845" w:rsidR="009B4B29" w:rsidRDefault="009B4B29" w:rsidP="009B4B29">
            <w:pPr>
              <w:widowControl/>
              <w:jc w:val="left"/>
              <w:rPr>
                <w:rFonts w:ascii="仿宋_GB2312" w:eastAsia="仿宋_GB2312" w:hAnsi="仿宋_GB2312" w:cs="仿宋_GB2312"/>
                <w:bCs/>
                <w:color w:val="0000FF"/>
                <w:spacing w:val="20"/>
                <w:sz w:val="21"/>
                <w:szCs w:val="21"/>
              </w:rPr>
            </w:pPr>
            <w:r>
              <w:rPr>
                <w:rFonts w:ascii="宋体" w:hAnsi="宋体" w:cs="微软雅黑" w:hint="eastAsia"/>
                <w:sz w:val="24"/>
              </w:rPr>
              <w:t>习近</w:t>
            </w:r>
            <w:proofErr w:type="gramStart"/>
            <w:r>
              <w:rPr>
                <w:rFonts w:ascii="宋体" w:hAnsi="宋体" w:cs="微软雅黑" w:hint="eastAsia"/>
                <w:sz w:val="24"/>
              </w:rPr>
              <w:t>平关于</w:t>
            </w:r>
            <w:proofErr w:type="gramEnd"/>
            <w:r>
              <w:rPr>
                <w:rFonts w:ascii="宋体" w:hAnsi="宋体" w:cs="微软雅黑" w:hint="eastAsia"/>
                <w:sz w:val="24"/>
              </w:rPr>
              <w:t>党的自我革命的重要论述</w:t>
            </w:r>
          </w:p>
        </w:tc>
        <w:tc>
          <w:tcPr>
            <w:tcW w:w="382" w:type="pct"/>
            <w:vAlign w:val="center"/>
          </w:tcPr>
          <w:p w14:paraId="7D68210F" w14:textId="01D7F509" w:rsidR="009B4B29" w:rsidRDefault="009B4B29" w:rsidP="009B4B29">
            <w:pPr>
              <w:widowControl/>
              <w:jc w:val="center"/>
              <w:rPr>
                <w:rFonts w:ascii="仿宋_GB2312" w:eastAsia="仿宋_GB2312" w:hAnsi="仿宋_GB2312" w:cs="仿宋_GB2312"/>
                <w:bCs/>
                <w:color w:val="0000FF"/>
                <w:spacing w:val="20"/>
                <w:sz w:val="21"/>
                <w:szCs w:val="21"/>
              </w:rPr>
            </w:pPr>
            <w:r>
              <w:rPr>
                <w:rFonts w:ascii="宋体" w:hAnsi="宋体" w:cs="Calibri" w:hint="eastAsia"/>
                <w:sz w:val="24"/>
              </w:rPr>
              <w:t>2</w:t>
            </w:r>
          </w:p>
        </w:tc>
        <w:tc>
          <w:tcPr>
            <w:tcW w:w="608" w:type="pct"/>
            <w:vAlign w:val="center"/>
          </w:tcPr>
          <w:p w14:paraId="360311AB" w14:textId="300C6620" w:rsidR="009B4B29" w:rsidRDefault="009B4B29" w:rsidP="009B4B29">
            <w:pPr>
              <w:widowControl/>
              <w:jc w:val="center"/>
              <w:rPr>
                <w:rFonts w:ascii="仿宋_GB2312" w:eastAsia="仿宋_GB2312" w:hAnsi="仿宋_GB2312" w:cs="仿宋_GB2312"/>
                <w:bCs/>
                <w:color w:val="0000FF"/>
                <w:spacing w:val="20"/>
                <w:sz w:val="21"/>
                <w:szCs w:val="21"/>
              </w:rPr>
            </w:pPr>
            <w:r>
              <w:rPr>
                <w:rFonts w:ascii="宋体" w:hAnsi="宋体" w:cs="Calibri" w:hint="eastAsia"/>
                <w:sz w:val="24"/>
              </w:rPr>
              <w:t>32</w:t>
            </w:r>
          </w:p>
        </w:tc>
        <w:tc>
          <w:tcPr>
            <w:tcW w:w="380" w:type="pct"/>
            <w:vAlign w:val="center"/>
          </w:tcPr>
          <w:p w14:paraId="13216EC1" w14:textId="097A34A2" w:rsidR="009B4B29" w:rsidRDefault="009B4B29" w:rsidP="009B4B29">
            <w:pPr>
              <w:widowControl/>
              <w:jc w:val="center"/>
              <w:rPr>
                <w:rFonts w:ascii="仿宋_GB2312" w:eastAsia="仿宋_GB2312" w:hAnsi="仿宋_GB2312" w:cs="仿宋_GB2312"/>
                <w:bCs/>
                <w:color w:val="0000FF"/>
                <w:spacing w:val="20"/>
                <w:sz w:val="21"/>
                <w:szCs w:val="21"/>
              </w:rPr>
            </w:pPr>
            <w:r>
              <w:rPr>
                <w:rFonts w:ascii="宋体" w:hAnsi="宋体" w:cs="Calibri" w:hint="eastAsia"/>
                <w:sz w:val="24"/>
              </w:rPr>
              <w:t>28</w:t>
            </w:r>
          </w:p>
        </w:tc>
        <w:tc>
          <w:tcPr>
            <w:tcW w:w="379" w:type="pct"/>
            <w:vAlign w:val="center"/>
          </w:tcPr>
          <w:p w14:paraId="1229CE33" w14:textId="67886A61" w:rsidR="009B4B29" w:rsidRDefault="009B4B29" w:rsidP="009B4B29">
            <w:pPr>
              <w:widowControl/>
              <w:jc w:val="center"/>
              <w:rPr>
                <w:rFonts w:ascii="仿宋_GB2312" w:eastAsia="仿宋_GB2312" w:hAnsi="仿宋_GB2312" w:cs="仿宋_GB2312"/>
                <w:bCs/>
                <w:color w:val="0000FF"/>
                <w:spacing w:val="20"/>
                <w:sz w:val="21"/>
                <w:szCs w:val="21"/>
              </w:rPr>
            </w:pPr>
            <w:r>
              <w:rPr>
                <w:rFonts w:ascii="宋体" w:hAnsi="宋体" w:cs="Calibri" w:hint="eastAsia"/>
                <w:sz w:val="24"/>
              </w:rPr>
              <w:t>4</w:t>
            </w:r>
          </w:p>
        </w:tc>
        <w:tc>
          <w:tcPr>
            <w:tcW w:w="408" w:type="pct"/>
            <w:vAlign w:val="center"/>
          </w:tcPr>
          <w:p w14:paraId="5F505447" w14:textId="404C62DF" w:rsidR="009B4B29" w:rsidRDefault="009B4B29" w:rsidP="009B4B29">
            <w:pPr>
              <w:widowControl/>
              <w:jc w:val="center"/>
              <w:rPr>
                <w:rFonts w:ascii="仿宋_GB2312" w:eastAsia="仿宋_GB2312" w:hAnsi="仿宋_GB2312" w:cs="仿宋_GB2312"/>
                <w:bCs/>
                <w:color w:val="0000FF"/>
                <w:spacing w:val="20"/>
                <w:sz w:val="21"/>
                <w:szCs w:val="21"/>
              </w:rPr>
            </w:pPr>
            <w:r w:rsidRPr="009B4B29">
              <w:rPr>
                <w:rFonts w:ascii="宋体" w:hAnsi="宋体" w:cs="微软雅黑" w:hint="eastAsia"/>
                <w:sz w:val="24"/>
              </w:rPr>
              <w:t>必修</w:t>
            </w:r>
          </w:p>
        </w:tc>
        <w:tc>
          <w:tcPr>
            <w:tcW w:w="506" w:type="pct"/>
            <w:vAlign w:val="center"/>
          </w:tcPr>
          <w:p w14:paraId="5D162918" w14:textId="498D9C1A" w:rsidR="009B4B29" w:rsidRDefault="009B4B29" w:rsidP="009B4B29">
            <w:pPr>
              <w:widowControl/>
              <w:jc w:val="center"/>
              <w:rPr>
                <w:rFonts w:ascii="仿宋_GB2312" w:eastAsia="仿宋_GB2312" w:hAnsi="仿宋_GB2312" w:cs="仿宋_GB2312"/>
                <w:bCs/>
                <w:color w:val="0000FF"/>
                <w:spacing w:val="20"/>
                <w:sz w:val="21"/>
                <w:szCs w:val="21"/>
              </w:rPr>
            </w:pPr>
            <w:r>
              <w:rPr>
                <w:rFonts w:ascii="宋体" w:hAnsi="宋体" w:cs="微软雅黑" w:hint="eastAsia"/>
                <w:sz w:val="24"/>
              </w:rPr>
              <w:t>考查</w:t>
            </w:r>
          </w:p>
        </w:tc>
        <w:tc>
          <w:tcPr>
            <w:tcW w:w="687" w:type="pct"/>
            <w:vAlign w:val="center"/>
          </w:tcPr>
          <w:p w14:paraId="23C1BD60" w14:textId="1E2A5273" w:rsidR="009B4B29" w:rsidRDefault="009B4B29" w:rsidP="009B4B29">
            <w:pPr>
              <w:widowControl/>
              <w:jc w:val="center"/>
              <w:rPr>
                <w:rFonts w:ascii="仿宋_GB2312" w:eastAsia="仿宋_GB2312" w:hAnsi="仿宋_GB2312" w:cs="仿宋_GB2312"/>
                <w:bCs/>
                <w:color w:val="0000FF"/>
                <w:spacing w:val="20"/>
                <w:sz w:val="21"/>
                <w:szCs w:val="21"/>
              </w:rPr>
            </w:pPr>
            <w:r>
              <w:rPr>
                <w:rFonts w:ascii="宋体" w:hAnsi="宋体" w:cs="微软雅黑" w:hint="eastAsia"/>
                <w:sz w:val="24"/>
              </w:rPr>
              <w:t>春季学期</w:t>
            </w:r>
          </w:p>
        </w:tc>
      </w:tr>
      <w:tr w:rsidR="009B4B29" w14:paraId="6BDA8708" w14:textId="77777777" w:rsidTr="009B4B29">
        <w:trPr>
          <w:trHeight w:val="453"/>
          <w:jc w:val="center"/>
        </w:trPr>
        <w:tc>
          <w:tcPr>
            <w:tcW w:w="1651" w:type="pct"/>
            <w:vAlign w:val="center"/>
          </w:tcPr>
          <w:p w14:paraId="25801A44" w14:textId="7765F4A9" w:rsidR="009B4B29" w:rsidRDefault="009B4B29" w:rsidP="009B4B29">
            <w:pPr>
              <w:widowControl/>
              <w:jc w:val="left"/>
              <w:rPr>
                <w:rFonts w:ascii="仿宋_GB2312" w:eastAsia="仿宋_GB2312" w:hAnsi="仿宋_GB2312" w:cs="仿宋_GB2312"/>
                <w:bCs/>
                <w:spacing w:val="20"/>
                <w:sz w:val="21"/>
                <w:szCs w:val="21"/>
              </w:rPr>
            </w:pPr>
            <w:r>
              <w:rPr>
                <w:rFonts w:ascii="宋体" w:hAnsi="宋体" w:cs="微软雅黑" w:hint="eastAsia"/>
                <w:sz w:val="24"/>
              </w:rPr>
              <w:t>国家治理体系现代化专题</w:t>
            </w:r>
          </w:p>
        </w:tc>
        <w:tc>
          <w:tcPr>
            <w:tcW w:w="382" w:type="pct"/>
            <w:vAlign w:val="center"/>
          </w:tcPr>
          <w:p w14:paraId="56E6768D" w14:textId="1D67E70A"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w:t>
            </w:r>
          </w:p>
        </w:tc>
        <w:tc>
          <w:tcPr>
            <w:tcW w:w="608" w:type="pct"/>
            <w:vAlign w:val="center"/>
          </w:tcPr>
          <w:p w14:paraId="362B1360" w14:textId="361736FC"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32</w:t>
            </w:r>
          </w:p>
        </w:tc>
        <w:tc>
          <w:tcPr>
            <w:tcW w:w="380" w:type="pct"/>
            <w:vAlign w:val="center"/>
          </w:tcPr>
          <w:p w14:paraId="731DB63F" w14:textId="33A53EE9"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28</w:t>
            </w:r>
          </w:p>
        </w:tc>
        <w:tc>
          <w:tcPr>
            <w:tcW w:w="379" w:type="pct"/>
            <w:vAlign w:val="center"/>
          </w:tcPr>
          <w:p w14:paraId="293596B9" w14:textId="656B308E"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4</w:t>
            </w:r>
          </w:p>
        </w:tc>
        <w:tc>
          <w:tcPr>
            <w:tcW w:w="408" w:type="pct"/>
            <w:vAlign w:val="center"/>
          </w:tcPr>
          <w:p w14:paraId="76153A76" w14:textId="233504E4" w:rsidR="009B4B29" w:rsidRDefault="009B4B29" w:rsidP="009B4B29">
            <w:pPr>
              <w:widowControl/>
              <w:jc w:val="center"/>
              <w:rPr>
                <w:rFonts w:ascii="仿宋_GB2312" w:eastAsia="仿宋_GB2312" w:hAnsi="仿宋_GB2312" w:cs="仿宋_GB2312"/>
                <w:bCs/>
                <w:spacing w:val="20"/>
                <w:sz w:val="21"/>
                <w:szCs w:val="21"/>
              </w:rPr>
            </w:pPr>
            <w:r w:rsidRPr="009B4B29">
              <w:rPr>
                <w:rFonts w:ascii="宋体" w:hAnsi="宋体" w:cs="微软雅黑" w:hint="eastAsia"/>
                <w:sz w:val="24"/>
              </w:rPr>
              <w:t>必修</w:t>
            </w:r>
          </w:p>
        </w:tc>
        <w:tc>
          <w:tcPr>
            <w:tcW w:w="506" w:type="pct"/>
          </w:tcPr>
          <w:p w14:paraId="54350437" w14:textId="58A9D5BA"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微软雅黑" w:hint="eastAsia"/>
                <w:sz w:val="24"/>
              </w:rPr>
              <w:t>考查</w:t>
            </w:r>
          </w:p>
        </w:tc>
        <w:tc>
          <w:tcPr>
            <w:tcW w:w="687" w:type="pct"/>
            <w:vAlign w:val="center"/>
          </w:tcPr>
          <w:p w14:paraId="709FF17B" w14:textId="06791325" w:rsidR="009B4B29" w:rsidRDefault="009B4B29" w:rsidP="009B4B29">
            <w:pPr>
              <w:widowControl/>
              <w:jc w:val="center"/>
              <w:rPr>
                <w:rFonts w:ascii="仿宋_GB2312" w:eastAsia="仿宋_GB2312" w:hAnsi="仿宋_GB2312" w:cs="仿宋_GB2312"/>
                <w:bCs/>
                <w:spacing w:val="20"/>
                <w:sz w:val="21"/>
                <w:szCs w:val="21"/>
              </w:rPr>
            </w:pPr>
            <w:r>
              <w:rPr>
                <w:rFonts w:ascii="宋体" w:hAnsi="宋体" w:hint="eastAsia"/>
                <w:sz w:val="24"/>
              </w:rPr>
              <w:t>春季学期</w:t>
            </w:r>
          </w:p>
        </w:tc>
      </w:tr>
      <w:tr w:rsidR="009B4B29" w14:paraId="04DA8F8F" w14:textId="77777777" w:rsidTr="009B4B29">
        <w:trPr>
          <w:trHeight w:val="453"/>
          <w:jc w:val="center"/>
        </w:trPr>
        <w:tc>
          <w:tcPr>
            <w:tcW w:w="1651" w:type="pct"/>
            <w:vAlign w:val="center"/>
          </w:tcPr>
          <w:p w14:paraId="268729B9" w14:textId="58B4A1EB" w:rsidR="009B4B29" w:rsidRDefault="009B4B29" w:rsidP="009B4B29">
            <w:pPr>
              <w:widowControl/>
              <w:jc w:val="left"/>
              <w:rPr>
                <w:rFonts w:ascii="仿宋_GB2312" w:eastAsia="仿宋_GB2312" w:hAnsi="仿宋_GB2312" w:cs="仿宋_GB2312"/>
                <w:bCs/>
                <w:spacing w:val="20"/>
                <w:sz w:val="21"/>
                <w:szCs w:val="21"/>
              </w:rPr>
            </w:pPr>
            <w:bookmarkStart w:id="0" w:name="OLE_LINK5"/>
            <w:r>
              <w:rPr>
                <w:rFonts w:ascii="宋体" w:hAnsi="宋体" w:cs="微软雅黑" w:hint="eastAsia"/>
                <w:sz w:val="24"/>
              </w:rPr>
              <w:t>巡视巡察与数据科学</w:t>
            </w:r>
            <w:bookmarkEnd w:id="0"/>
          </w:p>
        </w:tc>
        <w:tc>
          <w:tcPr>
            <w:tcW w:w="382" w:type="pct"/>
            <w:vAlign w:val="center"/>
          </w:tcPr>
          <w:p w14:paraId="548BA10E" w14:textId="6DC24888"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w:t>
            </w:r>
          </w:p>
        </w:tc>
        <w:tc>
          <w:tcPr>
            <w:tcW w:w="608" w:type="pct"/>
            <w:vAlign w:val="center"/>
          </w:tcPr>
          <w:p w14:paraId="66349D43" w14:textId="516579CC"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32</w:t>
            </w:r>
          </w:p>
        </w:tc>
        <w:tc>
          <w:tcPr>
            <w:tcW w:w="380" w:type="pct"/>
            <w:vAlign w:val="center"/>
          </w:tcPr>
          <w:p w14:paraId="66D337DC" w14:textId="3CFE72A2"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20</w:t>
            </w:r>
          </w:p>
        </w:tc>
        <w:tc>
          <w:tcPr>
            <w:tcW w:w="379" w:type="pct"/>
            <w:vAlign w:val="center"/>
          </w:tcPr>
          <w:p w14:paraId="006F763D" w14:textId="08807D6F" w:rsidR="009B4B29" w:rsidRDefault="009B4B29" w:rsidP="009B4B29">
            <w:pPr>
              <w:widowControl/>
              <w:jc w:val="center"/>
              <w:rPr>
                <w:rFonts w:ascii="仿宋_GB2312" w:eastAsia="仿宋_GB2312" w:hAnsi="仿宋_GB2312" w:cs="仿宋_GB2312"/>
                <w:bCs/>
                <w:spacing w:val="20"/>
                <w:sz w:val="21"/>
                <w:szCs w:val="21"/>
              </w:rPr>
            </w:pPr>
            <w:r>
              <w:rPr>
                <w:rFonts w:ascii="宋体" w:hAnsi="宋体" w:hint="eastAsia"/>
                <w:sz w:val="24"/>
              </w:rPr>
              <w:t>12</w:t>
            </w:r>
          </w:p>
        </w:tc>
        <w:tc>
          <w:tcPr>
            <w:tcW w:w="408" w:type="pct"/>
            <w:vAlign w:val="center"/>
          </w:tcPr>
          <w:p w14:paraId="42198ADC" w14:textId="44096B7B" w:rsidR="009B4B29" w:rsidRDefault="009B4B29" w:rsidP="009B4B29">
            <w:pPr>
              <w:widowControl/>
              <w:jc w:val="center"/>
              <w:rPr>
                <w:rFonts w:ascii="仿宋_GB2312" w:eastAsia="仿宋_GB2312" w:hAnsi="仿宋_GB2312" w:cs="仿宋_GB2312"/>
                <w:bCs/>
                <w:spacing w:val="20"/>
                <w:sz w:val="21"/>
                <w:szCs w:val="21"/>
              </w:rPr>
            </w:pPr>
            <w:r w:rsidRPr="009B4B29">
              <w:rPr>
                <w:rFonts w:ascii="宋体" w:hAnsi="宋体" w:cs="微软雅黑" w:hint="eastAsia"/>
                <w:sz w:val="24"/>
              </w:rPr>
              <w:t>必修</w:t>
            </w:r>
          </w:p>
        </w:tc>
        <w:tc>
          <w:tcPr>
            <w:tcW w:w="506" w:type="pct"/>
          </w:tcPr>
          <w:p w14:paraId="3F12BD87" w14:textId="4458B0DD"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微软雅黑" w:hint="eastAsia"/>
                <w:sz w:val="24"/>
              </w:rPr>
              <w:t>考查</w:t>
            </w:r>
          </w:p>
        </w:tc>
        <w:tc>
          <w:tcPr>
            <w:tcW w:w="687" w:type="pct"/>
            <w:vAlign w:val="center"/>
          </w:tcPr>
          <w:p w14:paraId="16500E50" w14:textId="1985E834" w:rsidR="009B4B29" w:rsidRDefault="009B4B29" w:rsidP="009B4B29">
            <w:pPr>
              <w:widowControl/>
              <w:jc w:val="center"/>
              <w:rPr>
                <w:rFonts w:ascii="仿宋_GB2312" w:eastAsia="仿宋_GB2312" w:hAnsi="仿宋_GB2312" w:cs="仿宋_GB2312"/>
                <w:bCs/>
                <w:spacing w:val="20"/>
                <w:sz w:val="21"/>
                <w:szCs w:val="21"/>
              </w:rPr>
            </w:pPr>
            <w:r>
              <w:rPr>
                <w:rFonts w:ascii="宋体" w:hAnsi="宋体" w:hint="eastAsia"/>
                <w:sz w:val="24"/>
              </w:rPr>
              <w:t>春季学期</w:t>
            </w:r>
          </w:p>
        </w:tc>
      </w:tr>
      <w:tr w:rsidR="009B4B29" w14:paraId="316FD04C" w14:textId="77777777" w:rsidTr="009B4B29">
        <w:trPr>
          <w:trHeight w:val="453"/>
          <w:jc w:val="center"/>
        </w:trPr>
        <w:tc>
          <w:tcPr>
            <w:tcW w:w="1651" w:type="pct"/>
            <w:vAlign w:val="center"/>
          </w:tcPr>
          <w:p w14:paraId="2A58396A" w14:textId="272B6752" w:rsidR="009B4B29" w:rsidRDefault="009B4B29" w:rsidP="009B4B29">
            <w:pPr>
              <w:widowControl/>
              <w:jc w:val="left"/>
              <w:rPr>
                <w:rFonts w:ascii="仿宋_GB2312" w:eastAsia="仿宋_GB2312" w:hAnsi="仿宋_GB2312" w:cs="仿宋_GB2312"/>
                <w:bCs/>
                <w:spacing w:val="20"/>
                <w:sz w:val="21"/>
                <w:szCs w:val="21"/>
              </w:rPr>
            </w:pPr>
            <w:bookmarkStart w:id="1" w:name="OLE_LINK3"/>
            <w:r>
              <w:rPr>
                <w:rFonts w:ascii="宋体" w:hAnsi="宋体" w:cs="微软雅黑" w:hint="eastAsia"/>
                <w:sz w:val="24"/>
              </w:rPr>
              <w:t>党内法规学</w:t>
            </w:r>
            <w:bookmarkEnd w:id="1"/>
          </w:p>
        </w:tc>
        <w:tc>
          <w:tcPr>
            <w:tcW w:w="382" w:type="pct"/>
            <w:vAlign w:val="center"/>
          </w:tcPr>
          <w:p w14:paraId="6C1F856A" w14:textId="379C65D3"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w:t>
            </w:r>
          </w:p>
        </w:tc>
        <w:tc>
          <w:tcPr>
            <w:tcW w:w="608" w:type="pct"/>
            <w:vAlign w:val="center"/>
          </w:tcPr>
          <w:p w14:paraId="3868E84D" w14:textId="05FB1D82"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32</w:t>
            </w:r>
          </w:p>
        </w:tc>
        <w:tc>
          <w:tcPr>
            <w:tcW w:w="380" w:type="pct"/>
            <w:vAlign w:val="center"/>
          </w:tcPr>
          <w:p w14:paraId="0372D933" w14:textId="0DA7AD24"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28</w:t>
            </w:r>
          </w:p>
        </w:tc>
        <w:tc>
          <w:tcPr>
            <w:tcW w:w="379" w:type="pct"/>
            <w:vAlign w:val="center"/>
          </w:tcPr>
          <w:p w14:paraId="068A6C6A" w14:textId="74A9F84B"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4</w:t>
            </w:r>
          </w:p>
        </w:tc>
        <w:tc>
          <w:tcPr>
            <w:tcW w:w="408" w:type="pct"/>
            <w:vAlign w:val="center"/>
          </w:tcPr>
          <w:p w14:paraId="2F0A46F5" w14:textId="386D208E" w:rsidR="009B4B29" w:rsidRDefault="009B4B29" w:rsidP="009B4B29">
            <w:pPr>
              <w:widowControl/>
              <w:jc w:val="center"/>
              <w:rPr>
                <w:rFonts w:ascii="仿宋_GB2312" w:eastAsia="仿宋_GB2312" w:hAnsi="仿宋_GB2312" w:cs="仿宋_GB2312"/>
                <w:bCs/>
                <w:spacing w:val="20"/>
                <w:sz w:val="21"/>
                <w:szCs w:val="21"/>
              </w:rPr>
            </w:pPr>
            <w:r w:rsidRPr="009B4B29">
              <w:rPr>
                <w:rFonts w:ascii="宋体" w:hAnsi="宋体" w:cs="微软雅黑" w:hint="eastAsia"/>
                <w:sz w:val="24"/>
              </w:rPr>
              <w:t>必修</w:t>
            </w:r>
          </w:p>
        </w:tc>
        <w:tc>
          <w:tcPr>
            <w:tcW w:w="506" w:type="pct"/>
          </w:tcPr>
          <w:p w14:paraId="6B049A56" w14:textId="37A75A9F"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微软雅黑" w:hint="eastAsia"/>
                <w:sz w:val="24"/>
              </w:rPr>
              <w:t>考查</w:t>
            </w:r>
          </w:p>
        </w:tc>
        <w:tc>
          <w:tcPr>
            <w:tcW w:w="687" w:type="pct"/>
            <w:vAlign w:val="center"/>
          </w:tcPr>
          <w:p w14:paraId="43845839" w14:textId="2A4C4587" w:rsidR="009B4B29" w:rsidRDefault="009B4B29" w:rsidP="009B4B29">
            <w:pPr>
              <w:widowControl/>
              <w:jc w:val="center"/>
              <w:rPr>
                <w:rFonts w:ascii="仿宋_GB2312" w:eastAsia="仿宋_GB2312" w:hAnsi="仿宋_GB2312" w:cs="仿宋_GB2312"/>
                <w:bCs/>
                <w:spacing w:val="20"/>
                <w:sz w:val="21"/>
                <w:szCs w:val="21"/>
              </w:rPr>
            </w:pPr>
            <w:r>
              <w:rPr>
                <w:rFonts w:ascii="宋体" w:hAnsi="宋体" w:hint="eastAsia"/>
                <w:sz w:val="24"/>
              </w:rPr>
              <w:t>秋季学期</w:t>
            </w:r>
          </w:p>
        </w:tc>
      </w:tr>
      <w:tr w:rsidR="009B4B29" w14:paraId="527D63E6" w14:textId="77777777" w:rsidTr="009B4B29">
        <w:trPr>
          <w:trHeight w:val="453"/>
          <w:jc w:val="center"/>
        </w:trPr>
        <w:tc>
          <w:tcPr>
            <w:tcW w:w="1651" w:type="pct"/>
            <w:vAlign w:val="center"/>
          </w:tcPr>
          <w:p w14:paraId="03CBDEBC" w14:textId="140B0B12" w:rsidR="009B4B29" w:rsidRDefault="009B4B29" w:rsidP="009B4B29">
            <w:pPr>
              <w:widowControl/>
              <w:jc w:val="left"/>
              <w:rPr>
                <w:rFonts w:ascii="仿宋_GB2312" w:eastAsia="仿宋_GB2312" w:hAnsi="仿宋_GB2312" w:cs="仿宋_GB2312"/>
                <w:bCs/>
                <w:spacing w:val="20"/>
                <w:sz w:val="21"/>
                <w:szCs w:val="21"/>
              </w:rPr>
            </w:pPr>
            <w:bookmarkStart w:id="2" w:name="OLE_LINK4"/>
            <w:r>
              <w:rPr>
                <w:rFonts w:ascii="宋体" w:hAnsi="宋体" w:cs="微软雅黑" w:hint="eastAsia"/>
                <w:sz w:val="24"/>
              </w:rPr>
              <w:t>巡视巡察实务与公文写作</w:t>
            </w:r>
            <w:bookmarkEnd w:id="2"/>
          </w:p>
        </w:tc>
        <w:tc>
          <w:tcPr>
            <w:tcW w:w="382" w:type="pct"/>
            <w:vAlign w:val="center"/>
          </w:tcPr>
          <w:p w14:paraId="2CA59031" w14:textId="6725E237"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2</w:t>
            </w:r>
          </w:p>
        </w:tc>
        <w:tc>
          <w:tcPr>
            <w:tcW w:w="608" w:type="pct"/>
            <w:vAlign w:val="center"/>
          </w:tcPr>
          <w:p w14:paraId="683D8EFF" w14:textId="336443BA"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Calibri" w:hint="eastAsia"/>
                <w:sz w:val="24"/>
              </w:rPr>
              <w:t>32</w:t>
            </w:r>
          </w:p>
        </w:tc>
        <w:tc>
          <w:tcPr>
            <w:tcW w:w="380" w:type="pct"/>
            <w:vAlign w:val="center"/>
          </w:tcPr>
          <w:p w14:paraId="1D9885B9" w14:textId="2887180E" w:rsidR="009B4B29" w:rsidRPr="009B4B29" w:rsidRDefault="009B4B29" w:rsidP="009B4B29">
            <w:pPr>
              <w:widowControl/>
              <w:jc w:val="center"/>
              <w:rPr>
                <w:rFonts w:ascii="宋体" w:hAnsi="宋体" w:cs="Calibri"/>
                <w:sz w:val="24"/>
              </w:rPr>
            </w:pPr>
            <w:r>
              <w:rPr>
                <w:rFonts w:ascii="宋体" w:hAnsi="宋体" w:cs="Calibri" w:hint="eastAsia"/>
                <w:sz w:val="24"/>
              </w:rPr>
              <w:t>20</w:t>
            </w:r>
          </w:p>
        </w:tc>
        <w:tc>
          <w:tcPr>
            <w:tcW w:w="379" w:type="pct"/>
            <w:vAlign w:val="center"/>
          </w:tcPr>
          <w:p w14:paraId="7FEE2C63" w14:textId="61B290A0" w:rsidR="009B4B29" w:rsidRPr="009B4B29" w:rsidRDefault="009B4B29" w:rsidP="009B4B29">
            <w:pPr>
              <w:widowControl/>
              <w:jc w:val="center"/>
              <w:rPr>
                <w:rFonts w:ascii="宋体" w:hAnsi="宋体" w:cs="Calibri"/>
                <w:sz w:val="24"/>
              </w:rPr>
            </w:pPr>
            <w:r w:rsidRPr="009B4B29">
              <w:rPr>
                <w:rFonts w:ascii="宋体" w:hAnsi="宋体" w:cs="Calibri" w:hint="eastAsia"/>
                <w:sz w:val="24"/>
              </w:rPr>
              <w:t>12</w:t>
            </w:r>
          </w:p>
        </w:tc>
        <w:tc>
          <w:tcPr>
            <w:tcW w:w="408" w:type="pct"/>
            <w:vAlign w:val="center"/>
          </w:tcPr>
          <w:p w14:paraId="3C43D818" w14:textId="4D86BD61" w:rsidR="009B4B29" w:rsidRDefault="009B4B29" w:rsidP="009B4B29">
            <w:pPr>
              <w:widowControl/>
              <w:jc w:val="center"/>
              <w:rPr>
                <w:rFonts w:ascii="仿宋_GB2312" w:eastAsia="仿宋_GB2312" w:hAnsi="仿宋_GB2312" w:cs="仿宋_GB2312"/>
                <w:bCs/>
                <w:spacing w:val="20"/>
                <w:sz w:val="21"/>
                <w:szCs w:val="21"/>
              </w:rPr>
            </w:pPr>
            <w:r w:rsidRPr="009B4B29">
              <w:rPr>
                <w:rFonts w:ascii="宋体" w:hAnsi="宋体" w:cs="微软雅黑" w:hint="eastAsia"/>
                <w:sz w:val="24"/>
              </w:rPr>
              <w:t>必修</w:t>
            </w:r>
          </w:p>
        </w:tc>
        <w:tc>
          <w:tcPr>
            <w:tcW w:w="506" w:type="pct"/>
          </w:tcPr>
          <w:p w14:paraId="04FF633B" w14:textId="1A63252A" w:rsidR="009B4B29" w:rsidRDefault="009B4B29" w:rsidP="009B4B29">
            <w:pPr>
              <w:widowControl/>
              <w:jc w:val="center"/>
              <w:rPr>
                <w:rFonts w:ascii="仿宋_GB2312" w:eastAsia="仿宋_GB2312" w:hAnsi="仿宋_GB2312" w:cs="仿宋_GB2312"/>
                <w:bCs/>
                <w:spacing w:val="20"/>
                <w:sz w:val="21"/>
                <w:szCs w:val="21"/>
              </w:rPr>
            </w:pPr>
            <w:r>
              <w:rPr>
                <w:rFonts w:ascii="宋体" w:hAnsi="宋体" w:cs="微软雅黑" w:hint="eastAsia"/>
                <w:sz w:val="24"/>
              </w:rPr>
              <w:t>考查</w:t>
            </w:r>
          </w:p>
        </w:tc>
        <w:tc>
          <w:tcPr>
            <w:tcW w:w="687" w:type="pct"/>
            <w:vAlign w:val="center"/>
          </w:tcPr>
          <w:p w14:paraId="494484CE" w14:textId="68958A55" w:rsidR="009B4B29" w:rsidRDefault="009B4B29" w:rsidP="009B4B29">
            <w:pPr>
              <w:widowControl/>
              <w:jc w:val="center"/>
              <w:rPr>
                <w:rFonts w:ascii="仿宋_GB2312" w:eastAsia="仿宋_GB2312" w:hAnsi="仿宋_GB2312" w:cs="仿宋_GB2312"/>
                <w:bCs/>
                <w:spacing w:val="20"/>
                <w:sz w:val="21"/>
                <w:szCs w:val="21"/>
              </w:rPr>
            </w:pPr>
            <w:r>
              <w:rPr>
                <w:rFonts w:ascii="宋体" w:hAnsi="宋体" w:hint="eastAsia"/>
                <w:sz w:val="24"/>
              </w:rPr>
              <w:t>秋季学期</w:t>
            </w:r>
          </w:p>
        </w:tc>
      </w:tr>
      <w:tr w:rsidR="009B4B29" w14:paraId="5419A902" w14:textId="77777777" w:rsidTr="009B4B29">
        <w:trPr>
          <w:trHeight w:val="425"/>
          <w:jc w:val="center"/>
        </w:trPr>
        <w:tc>
          <w:tcPr>
            <w:tcW w:w="1651" w:type="pct"/>
            <w:tcBorders>
              <w:bottom w:val="single" w:sz="4" w:space="0" w:color="auto"/>
            </w:tcBorders>
            <w:vAlign w:val="center"/>
          </w:tcPr>
          <w:p w14:paraId="2AAA3248" w14:textId="77777777" w:rsidR="009B4B29" w:rsidRDefault="009B4B29" w:rsidP="009B4B29">
            <w:pPr>
              <w:widowControl/>
              <w:jc w:val="center"/>
              <w:rPr>
                <w:rFonts w:ascii="仿宋_GB2312" w:eastAsia="仿宋_GB2312" w:hAnsi="仿宋_GB2312" w:cs="仿宋_GB2312"/>
                <w:bCs/>
                <w:spacing w:val="20"/>
                <w:sz w:val="21"/>
                <w:szCs w:val="21"/>
              </w:rPr>
            </w:pPr>
            <w:r>
              <w:rPr>
                <w:rFonts w:ascii="仿宋_GB2312" w:eastAsia="仿宋_GB2312" w:hAnsi="仿宋_GB2312" w:cs="仿宋_GB2312" w:hint="eastAsia"/>
                <w:bCs/>
                <w:spacing w:val="20"/>
                <w:sz w:val="21"/>
                <w:szCs w:val="21"/>
              </w:rPr>
              <w:t>合计</w:t>
            </w:r>
          </w:p>
        </w:tc>
        <w:tc>
          <w:tcPr>
            <w:tcW w:w="382" w:type="pct"/>
            <w:tcBorders>
              <w:bottom w:val="single" w:sz="4" w:space="0" w:color="auto"/>
            </w:tcBorders>
            <w:vAlign w:val="center"/>
          </w:tcPr>
          <w:p w14:paraId="28508F0D" w14:textId="469AEB3B" w:rsidR="009B4B29" w:rsidRPr="009B4B29" w:rsidRDefault="009B4B29" w:rsidP="009B4B29">
            <w:pPr>
              <w:widowControl/>
              <w:jc w:val="center"/>
              <w:rPr>
                <w:rFonts w:ascii="宋体" w:hAnsi="宋体" w:cs="Calibri"/>
                <w:sz w:val="24"/>
              </w:rPr>
            </w:pPr>
            <w:r w:rsidRPr="009B4B29">
              <w:rPr>
                <w:rFonts w:ascii="宋体" w:hAnsi="宋体" w:cs="Calibri" w:hint="eastAsia"/>
                <w:sz w:val="24"/>
              </w:rPr>
              <w:t>1</w:t>
            </w:r>
            <w:r w:rsidRPr="009B4B29">
              <w:rPr>
                <w:rFonts w:ascii="宋体" w:hAnsi="宋体" w:cs="Calibri"/>
                <w:sz w:val="24"/>
              </w:rPr>
              <w:t>0</w:t>
            </w:r>
          </w:p>
        </w:tc>
        <w:tc>
          <w:tcPr>
            <w:tcW w:w="608" w:type="pct"/>
            <w:tcBorders>
              <w:bottom w:val="single" w:sz="4" w:space="0" w:color="auto"/>
            </w:tcBorders>
            <w:vAlign w:val="center"/>
          </w:tcPr>
          <w:p w14:paraId="6B1D101D" w14:textId="6CB2F06F" w:rsidR="009B4B29" w:rsidRPr="009B4B29" w:rsidRDefault="009B4B29" w:rsidP="009B4B29">
            <w:pPr>
              <w:widowControl/>
              <w:jc w:val="center"/>
              <w:rPr>
                <w:rFonts w:ascii="宋体" w:hAnsi="宋体" w:cs="Calibri"/>
                <w:sz w:val="24"/>
              </w:rPr>
            </w:pPr>
            <w:r w:rsidRPr="009B4B29">
              <w:rPr>
                <w:rFonts w:ascii="宋体" w:hAnsi="宋体" w:cs="Calibri" w:hint="eastAsia"/>
                <w:sz w:val="24"/>
              </w:rPr>
              <w:t>1</w:t>
            </w:r>
            <w:r w:rsidRPr="009B4B29">
              <w:rPr>
                <w:rFonts w:ascii="宋体" w:hAnsi="宋体" w:cs="Calibri"/>
                <w:sz w:val="24"/>
              </w:rPr>
              <w:t>60</w:t>
            </w:r>
          </w:p>
        </w:tc>
        <w:tc>
          <w:tcPr>
            <w:tcW w:w="380" w:type="pct"/>
            <w:tcBorders>
              <w:bottom w:val="single" w:sz="4" w:space="0" w:color="auto"/>
            </w:tcBorders>
            <w:vAlign w:val="center"/>
          </w:tcPr>
          <w:p w14:paraId="0657AF29" w14:textId="5B677FBB" w:rsidR="009B4B29" w:rsidRPr="009B4B29" w:rsidRDefault="009B4B29" w:rsidP="009B4B29">
            <w:pPr>
              <w:widowControl/>
              <w:jc w:val="center"/>
              <w:rPr>
                <w:rFonts w:ascii="宋体" w:hAnsi="宋体" w:cs="Calibri"/>
                <w:sz w:val="24"/>
              </w:rPr>
            </w:pPr>
            <w:r w:rsidRPr="009B4B29">
              <w:rPr>
                <w:rFonts w:ascii="宋体" w:hAnsi="宋体" w:cs="Calibri" w:hint="eastAsia"/>
                <w:sz w:val="24"/>
              </w:rPr>
              <w:t>1</w:t>
            </w:r>
            <w:r w:rsidRPr="009B4B29">
              <w:rPr>
                <w:rFonts w:ascii="宋体" w:hAnsi="宋体" w:cs="Calibri"/>
                <w:sz w:val="24"/>
              </w:rPr>
              <w:t>24</w:t>
            </w:r>
          </w:p>
        </w:tc>
        <w:tc>
          <w:tcPr>
            <w:tcW w:w="379" w:type="pct"/>
            <w:tcBorders>
              <w:bottom w:val="single" w:sz="4" w:space="0" w:color="auto"/>
            </w:tcBorders>
            <w:vAlign w:val="center"/>
          </w:tcPr>
          <w:p w14:paraId="040431FB" w14:textId="78A771A6" w:rsidR="009B4B29" w:rsidRPr="009B4B29" w:rsidRDefault="009B4B29" w:rsidP="009B4B29">
            <w:pPr>
              <w:widowControl/>
              <w:jc w:val="center"/>
              <w:rPr>
                <w:rFonts w:ascii="宋体" w:hAnsi="宋体" w:cs="Calibri"/>
                <w:sz w:val="24"/>
              </w:rPr>
            </w:pPr>
            <w:r w:rsidRPr="009B4B29">
              <w:rPr>
                <w:rFonts w:ascii="宋体" w:hAnsi="宋体" w:cs="Calibri" w:hint="eastAsia"/>
                <w:sz w:val="24"/>
              </w:rPr>
              <w:t>3</w:t>
            </w:r>
            <w:r w:rsidRPr="009B4B29">
              <w:rPr>
                <w:rFonts w:ascii="宋体" w:hAnsi="宋体" w:cs="Calibri"/>
                <w:sz w:val="24"/>
              </w:rPr>
              <w:t>6</w:t>
            </w:r>
          </w:p>
        </w:tc>
        <w:tc>
          <w:tcPr>
            <w:tcW w:w="408" w:type="pct"/>
            <w:tcBorders>
              <w:bottom w:val="single" w:sz="4" w:space="0" w:color="auto"/>
            </w:tcBorders>
            <w:vAlign w:val="center"/>
          </w:tcPr>
          <w:p w14:paraId="2AC874A4" w14:textId="77777777" w:rsidR="009B4B29" w:rsidRDefault="009B4B29" w:rsidP="009B4B29">
            <w:pPr>
              <w:widowControl/>
              <w:jc w:val="center"/>
              <w:rPr>
                <w:rFonts w:ascii="仿宋_GB2312" w:eastAsia="仿宋_GB2312" w:hAnsi="仿宋_GB2312" w:cs="仿宋_GB2312"/>
                <w:bCs/>
                <w:spacing w:val="20"/>
                <w:sz w:val="21"/>
                <w:szCs w:val="21"/>
              </w:rPr>
            </w:pPr>
          </w:p>
        </w:tc>
        <w:tc>
          <w:tcPr>
            <w:tcW w:w="506" w:type="pct"/>
            <w:tcBorders>
              <w:bottom w:val="single" w:sz="4" w:space="0" w:color="auto"/>
            </w:tcBorders>
            <w:vAlign w:val="center"/>
          </w:tcPr>
          <w:p w14:paraId="3E23AD51" w14:textId="5598196C" w:rsidR="009B4B29" w:rsidRDefault="009B4B29" w:rsidP="009B4B29">
            <w:pPr>
              <w:widowControl/>
              <w:jc w:val="center"/>
              <w:rPr>
                <w:rFonts w:ascii="仿宋_GB2312" w:eastAsia="仿宋_GB2312" w:hAnsi="仿宋_GB2312" w:cs="仿宋_GB2312"/>
                <w:bCs/>
                <w:spacing w:val="20"/>
                <w:sz w:val="21"/>
                <w:szCs w:val="21"/>
              </w:rPr>
            </w:pPr>
            <w:r>
              <w:rPr>
                <w:rFonts w:eastAsia="仿宋_GB2312" w:hint="eastAsia"/>
                <w:sz w:val="24"/>
              </w:rPr>
              <w:t>—</w:t>
            </w:r>
          </w:p>
        </w:tc>
        <w:tc>
          <w:tcPr>
            <w:tcW w:w="687" w:type="pct"/>
            <w:tcBorders>
              <w:bottom w:val="single" w:sz="4" w:space="0" w:color="auto"/>
            </w:tcBorders>
            <w:vAlign w:val="center"/>
          </w:tcPr>
          <w:p w14:paraId="62A966E6" w14:textId="6C7EB1CB" w:rsidR="009B4B29" w:rsidRDefault="009B4B29" w:rsidP="009B4B29">
            <w:pPr>
              <w:widowControl/>
              <w:jc w:val="center"/>
              <w:rPr>
                <w:rFonts w:ascii="仿宋_GB2312" w:eastAsia="仿宋_GB2312" w:hAnsi="仿宋_GB2312" w:cs="仿宋_GB2312"/>
                <w:bCs/>
                <w:spacing w:val="20"/>
                <w:sz w:val="21"/>
                <w:szCs w:val="21"/>
              </w:rPr>
            </w:pPr>
            <w:r>
              <w:rPr>
                <w:rFonts w:eastAsia="仿宋_GB2312" w:hint="eastAsia"/>
                <w:sz w:val="24"/>
              </w:rPr>
              <w:t>—</w:t>
            </w:r>
          </w:p>
        </w:tc>
      </w:tr>
    </w:tbl>
    <w:p w14:paraId="1BFA77E3" w14:textId="77777777" w:rsidR="004F485C" w:rsidRDefault="0098712A">
      <w:pPr>
        <w:widowControl/>
        <w:spacing w:line="360" w:lineRule="auto"/>
        <w:ind w:firstLineChars="187" w:firstLine="598"/>
        <w:jc w:val="left"/>
        <w:rPr>
          <w:rFonts w:ascii="黑体" w:eastAsia="黑体" w:hAnsi="黑体" w:cs="黑体"/>
          <w:bCs/>
          <w:sz w:val="28"/>
          <w:szCs w:val="28"/>
        </w:rPr>
      </w:pPr>
      <w:r>
        <w:rPr>
          <w:sz w:val="32"/>
        </w:rPr>
        <w:br w:type="page"/>
      </w:r>
      <w:r>
        <w:rPr>
          <w:rFonts w:ascii="黑体" w:eastAsia="黑体" w:hAnsi="黑体" w:cs="黑体" w:hint="eastAsia"/>
          <w:bCs/>
          <w:sz w:val="28"/>
          <w:szCs w:val="28"/>
        </w:rPr>
        <w:lastRenderedPageBreak/>
        <w:t>六、课程简介</w:t>
      </w:r>
    </w:p>
    <w:p w14:paraId="1C9C6B86" w14:textId="77777777" w:rsidR="004F485C" w:rsidRDefault="0098712A">
      <w:pPr>
        <w:widowControl/>
        <w:spacing w:line="400" w:lineRule="exact"/>
        <w:ind w:firstLineChars="200" w:firstLine="560"/>
        <w:rPr>
          <w:rFonts w:ascii="仿宋_GB2312" w:eastAsia="仿宋_GB2312"/>
          <w:sz w:val="28"/>
          <w:szCs w:val="28"/>
        </w:rPr>
      </w:pPr>
      <w:r>
        <w:rPr>
          <w:rFonts w:ascii="仿宋_GB2312" w:eastAsia="仿宋_GB2312" w:hint="eastAsia"/>
          <w:sz w:val="28"/>
          <w:szCs w:val="28"/>
        </w:rPr>
        <w:t>对</w:t>
      </w:r>
      <w:proofErr w:type="gramStart"/>
      <w:r>
        <w:rPr>
          <w:rFonts w:ascii="仿宋_GB2312" w:eastAsia="仿宋_GB2312" w:hint="eastAsia"/>
          <w:sz w:val="28"/>
          <w:szCs w:val="28"/>
        </w:rPr>
        <w:t>本微专业拟</w:t>
      </w:r>
      <w:proofErr w:type="gramEnd"/>
      <w:r>
        <w:rPr>
          <w:rFonts w:ascii="仿宋_GB2312" w:eastAsia="仿宋_GB2312" w:hint="eastAsia"/>
          <w:sz w:val="28"/>
          <w:szCs w:val="28"/>
        </w:rPr>
        <w:t>开设的课程进行简要介绍，包括课程主要内容、课程教学设计等，每门课</w:t>
      </w:r>
      <w:r>
        <w:rPr>
          <w:rFonts w:ascii="仿宋_GB2312" w:eastAsia="仿宋_GB2312" w:hint="eastAsia"/>
          <w:sz w:val="28"/>
          <w:szCs w:val="28"/>
        </w:rPr>
        <w:t>300</w:t>
      </w:r>
      <w:r>
        <w:rPr>
          <w:rFonts w:ascii="仿宋_GB2312" w:eastAsia="仿宋_GB2312" w:hint="eastAsia"/>
          <w:sz w:val="28"/>
          <w:szCs w:val="28"/>
        </w:rPr>
        <w:t>字以内。</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118"/>
        <w:gridCol w:w="5922"/>
      </w:tblGrid>
      <w:tr w:rsidR="004F485C" w14:paraId="295373B7" w14:textId="77777777">
        <w:trPr>
          <w:trHeight w:val="512"/>
          <w:jc w:val="center"/>
        </w:trPr>
        <w:tc>
          <w:tcPr>
            <w:tcW w:w="1110" w:type="dxa"/>
            <w:tcBorders>
              <w:top w:val="single" w:sz="4" w:space="0" w:color="auto"/>
            </w:tcBorders>
            <w:vAlign w:val="center"/>
          </w:tcPr>
          <w:p w14:paraId="23FABFF7" w14:textId="77777777" w:rsidR="004F485C" w:rsidRDefault="0098712A">
            <w:pPr>
              <w:widowControl/>
              <w:jc w:val="center"/>
              <w:rPr>
                <w:rFonts w:ascii="黑体" w:eastAsia="黑体" w:hAnsi="黑体" w:cs="黑体"/>
                <w:bCs/>
                <w:spacing w:val="20"/>
                <w:sz w:val="21"/>
                <w:szCs w:val="21"/>
              </w:rPr>
            </w:pPr>
            <w:r>
              <w:rPr>
                <w:rFonts w:ascii="黑体" w:eastAsia="黑体" w:hAnsi="黑体" w:cs="黑体" w:hint="eastAsia"/>
                <w:bCs/>
                <w:spacing w:val="20"/>
                <w:sz w:val="21"/>
                <w:szCs w:val="21"/>
              </w:rPr>
              <w:t>序号</w:t>
            </w:r>
          </w:p>
        </w:tc>
        <w:tc>
          <w:tcPr>
            <w:tcW w:w="2118" w:type="dxa"/>
            <w:tcBorders>
              <w:top w:val="single" w:sz="4" w:space="0" w:color="auto"/>
            </w:tcBorders>
            <w:vAlign w:val="center"/>
          </w:tcPr>
          <w:p w14:paraId="5300F9AD" w14:textId="77777777" w:rsidR="004F485C" w:rsidRDefault="0098712A">
            <w:pPr>
              <w:widowControl/>
              <w:jc w:val="center"/>
              <w:rPr>
                <w:rFonts w:ascii="黑体" w:eastAsia="黑体" w:hAnsi="黑体" w:cs="黑体"/>
                <w:bCs/>
                <w:spacing w:val="20"/>
                <w:sz w:val="21"/>
                <w:szCs w:val="21"/>
              </w:rPr>
            </w:pPr>
            <w:r>
              <w:rPr>
                <w:rFonts w:ascii="黑体" w:eastAsia="黑体" w:hAnsi="黑体" w:cs="黑体" w:hint="eastAsia"/>
                <w:bCs/>
                <w:spacing w:val="20"/>
                <w:sz w:val="21"/>
                <w:szCs w:val="21"/>
              </w:rPr>
              <w:t>课程名称</w:t>
            </w:r>
          </w:p>
        </w:tc>
        <w:tc>
          <w:tcPr>
            <w:tcW w:w="5922" w:type="dxa"/>
            <w:tcBorders>
              <w:top w:val="single" w:sz="4" w:space="0" w:color="auto"/>
              <w:bottom w:val="single" w:sz="4" w:space="0" w:color="auto"/>
            </w:tcBorders>
            <w:vAlign w:val="center"/>
          </w:tcPr>
          <w:p w14:paraId="005B8980" w14:textId="77777777" w:rsidR="004F485C" w:rsidRDefault="0098712A">
            <w:pPr>
              <w:widowControl/>
              <w:jc w:val="center"/>
              <w:rPr>
                <w:rFonts w:ascii="黑体" w:eastAsia="黑体" w:hAnsi="黑体" w:cs="黑体"/>
                <w:bCs/>
                <w:sz w:val="21"/>
                <w:szCs w:val="21"/>
              </w:rPr>
            </w:pPr>
            <w:r>
              <w:rPr>
                <w:rFonts w:ascii="黑体" w:eastAsia="黑体" w:hAnsi="黑体" w:cs="黑体" w:hint="eastAsia"/>
                <w:bCs/>
                <w:spacing w:val="20"/>
                <w:sz w:val="21"/>
                <w:szCs w:val="21"/>
              </w:rPr>
              <w:t>课程简介</w:t>
            </w:r>
          </w:p>
        </w:tc>
      </w:tr>
      <w:tr w:rsidR="009B4B29" w14:paraId="094E39E5" w14:textId="77777777" w:rsidTr="0098712A">
        <w:trPr>
          <w:trHeight w:hRule="exact" w:val="2021"/>
          <w:jc w:val="center"/>
        </w:trPr>
        <w:tc>
          <w:tcPr>
            <w:tcW w:w="1110" w:type="dxa"/>
            <w:vAlign w:val="center"/>
          </w:tcPr>
          <w:p w14:paraId="05C72216" w14:textId="77777777" w:rsidR="009B4B29" w:rsidRDefault="009B4B29" w:rsidP="009B4B29">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1</w:t>
            </w:r>
          </w:p>
        </w:tc>
        <w:tc>
          <w:tcPr>
            <w:tcW w:w="2118" w:type="dxa"/>
            <w:vAlign w:val="center"/>
          </w:tcPr>
          <w:p w14:paraId="7CB97DB7" w14:textId="2199B1A9" w:rsidR="009B4B29" w:rsidRDefault="0098712A" w:rsidP="0098712A">
            <w:pPr>
              <w:widowControl/>
              <w:jc w:val="left"/>
              <w:rPr>
                <w:rFonts w:ascii="仿宋_GB2312" w:eastAsia="仿宋_GB2312" w:hAnsi="仿宋_GB2312" w:cs="仿宋_GB2312"/>
                <w:bCs/>
                <w:sz w:val="21"/>
                <w:szCs w:val="21"/>
              </w:rPr>
            </w:pPr>
            <w:r>
              <w:rPr>
                <w:rFonts w:ascii="宋体" w:hAnsi="宋体" w:cs="微软雅黑" w:hint="eastAsia"/>
                <w:sz w:val="24"/>
              </w:rPr>
              <w:t>习近</w:t>
            </w:r>
            <w:proofErr w:type="gramStart"/>
            <w:r>
              <w:rPr>
                <w:rFonts w:ascii="宋体" w:hAnsi="宋体" w:cs="微软雅黑" w:hint="eastAsia"/>
                <w:sz w:val="24"/>
              </w:rPr>
              <w:t>平关于</w:t>
            </w:r>
            <w:proofErr w:type="gramEnd"/>
            <w:r>
              <w:rPr>
                <w:rFonts w:ascii="宋体" w:hAnsi="宋体" w:cs="微软雅黑" w:hint="eastAsia"/>
                <w:sz w:val="24"/>
              </w:rPr>
              <w:t>党的自我革命的重要论述</w:t>
            </w:r>
          </w:p>
        </w:tc>
        <w:tc>
          <w:tcPr>
            <w:tcW w:w="5922" w:type="dxa"/>
            <w:tcBorders>
              <w:top w:val="single" w:sz="4" w:space="0" w:color="auto"/>
              <w:bottom w:val="single" w:sz="4" w:space="0" w:color="auto"/>
            </w:tcBorders>
            <w:vAlign w:val="center"/>
          </w:tcPr>
          <w:p w14:paraId="1369234F" w14:textId="08AA243C" w:rsidR="009B4B29" w:rsidRDefault="009B4B29" w:rsidP="009B4B29">
            <w:pPr>
              <w:widowControl/>
              <w:jc w:val="left"/>
              <w:rPr>
                <w:rFonts w:ascii="仿宋_GB2312" w:eastAsia="仿宋_GB2312" w:hAnsi="仿宋_GB2312" w:cs="仿宋_GB2312"/>
                <w:bCs/>
                <w:sz w:val="21"/>
                <w:szCs w:val="21"/>
              </w:rPr>
            </w:pPr>
            <w:r>
              <w:rPr>
                <w:rFonts w:ascii="宋体" w:hAnsi="宋体" w:cs="微软雅黑" w:hint="eastAsia"/>
                <w:sz w:val="24"/>
              </w:rPr>
              <w:t>旨在以学习贯彻习近平总书记关于巡视巡察工作重要论述和党中央决策部署为主线，系统梳理新时代巡视巡察工作实践创新、理论创新、制度创新成果，帮助学生深化对党中央关于巡视巡察工作决策部署的理解认识，更好地把握新时代巡视工作规律，为开展巡视巡察理论与实践研究提供参考。</w:t>
            </w:r>
          </w:p>
        </w:tc>
      </w:tr>
      <w:tr w:rsidR="009B4B29" w14:paraId="46D80272" w14:textId="77777777" w:rsidTr="0098712A">
        <w:trPr>
          <w:trHeight w:hRule="exact" w:val="2546"/>
          <w:jc w:val="center"/>
        </w:trPr>
        <w:tc>
          <w:tcPr>
            <w:tcW w:w="1110" w:type="dxa"/>
            <w:vAlign w:val="center"/>
          </w:tcPr>
          <w:p w14:paraId="6F56B075" w14:textId="77777777" w:rsidR="009B4B29" w:rsidRDefault="009B4B29" w:rsidP="009B4B29">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2</w:t>
            </w:r>
          </w:p>
        </w:tc>
        <w:tc>
          <w:tcPr>
            <w:tcW w:w="2118" w:type="dxa"/>
            <w:vAlign w:val="center"/>
          </w:tcPr>
          <w:p w14:paraId="2C428520" w14:textId="631C898C" w:rsidR="009B4B29" w:rsidRDefault="0098712A" w:rsidP="0098712A">
            <w:pPr>
              <w:widowControl/>
              <w:jc w:val="left"/>
              <w:rPr>
                <w:rFonts w:ascii="仿宋_GB2312" w:eastAsia="仿宋_GB2312" w:hAnsi="仿宋_GB2312" w:cs="仿宋_GB2312"/>
                <w:bCs/>
                <w:sz w:val="21"/>
                <w:szCs w:val="21"/>
              </w:rPr>
            </w:pPr>
            <w:r>
              <w:rPr>
                <w:rFonts w:ascii="宋体" w:hAnsi="宋体" w:cs="微软雅黑" w:hint="eastAsia"/>
                <w:sz w:val="24"/>
              </w:rPr>
              <w:t>国家治理体系现代化专题</w:t>
            </w:r>
          </w:p>
        </w:tc>
        <w:tc>
          <w:tcPr>
            <w:tcW w:w="5922" w:type="dxa"/>
            <w:tcBorders>
              <w:top w:val="single" w:sz="4" w:space="0" w:color="auto"/>
              <w:bottom w:val="single" w:sz="4" w:space="0" w:color="auto"/>
            </w:tcBorders>
            <w:vAlign w:val="center"/>
          </w:tcPr>
          <w:p w14:paraId="389BF047" w14:textId="2FB8AB78" w:rsidR="009B4B29" w:rsidRDefault="009B4B29" w:rsidP="009B4B29">
            <w:pPr>
              <w:widowControl/>
              <w:jc w:val="left"/>
              <w:rPr>
                <w:rFonts w:ascii="仿宋_GB2312" w:eastAsia="仿宋_GB2312" w:hAnsi="仿宋_GB2312" w:cs="仿宋_GB2312"/>
                <w:bCs/>
                <w:sz w:val="21"/>
                <w:szCs w:val="21"/>
              </w:rPr>
            </w:pPr>
            <w:r>
              <w:rPr>
                <w:rFonts w:ascii="宋体" w:hAnsi="宋体" w:cs="微软雅黑" w:hint="eastAsia"/>
                <w:sz w:val="24"/>
              </w:rPr>
              <w:t>旨在通过全面、深入地探讨中国治理体系现代化的理论与实践，帮助学生系统掌握中国治理体系的发展脉络、核心要素和运行机制。课程内容涵盖了中国治理体系中的制度逻辑、政党逻辑、国家治理逻辑、地方与基层治理逻辑、社会治理逻辑、价值逻辑以及工具逻辑等多个方面。详细解析中国国家制度体系的层级与构成、中国特质与文化根基对治理体系现代化的影响，以及“党领导国家”体制的历史演变与现实意义。</w:t>
            </w:r>
          </w:p>
        </w:tc>
      </w:tr>
      <w:tr w:rsidR="009B4B29" w14:paraId="07878813" w14:textId="77777777" w:rsidTr="0098712A">
        <w:trPr>
          <w:trHeight w:hRule="exact" w:val="2287"/>
          <w:jc w:val="center"/>
        </w:trPr>
        <w:tc>
          <w:tcPr>
            <w:tcW w:w="1110" w:type="dxa"/>
            <w:vAlign w:val="center"/>
          </w:tcPr>
          <w:p w14:paraId="0BEF1DD9" w14:textId="77777777" w:rsidR="009B4B29" w:rsidRDefault="009B4B29" w:rsidP="009B4B29">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3</w:t>
            </w:r>
          </w:p>
        </w:tc>
        <w:tc>
          <w:tcPr>
            <w:tcW w:w="2118" w:type="dxa"/>
            <w:vAlign w:val="center"/>
          </w:tcPr>
          <w:p w14:paraId="610999CC" w14:textId="7CCE0FFB" w:rsidR="009B4B29" w:rsidRDefault="0098712A" w:rsidP="0098712A">
            <w:pPr>
              <w:widowControl/>
              <w:jc w:val="left"/>
              <w:rPr>
                <w:rFonts w:ascii="仿宋_GB2312" w:eastAsia="仿宋_GB2312" w:hAnsi="仿宋_GB2312" w:cs="仿宋_GB2312"/>
                <w:bCs/>
                <w:sz w:val="21"/>
                <w:szCs w:val="21"/>
              </w:rPr>
            </w:pPr>
            <w:r>
              <w:rPr>
                <w:rFonts w:ascii="宋体" w:hAnsi="宋体" w:cs="微软雅黑" w:hint="eastAsia"/>
                <w:sz w:val="24"/>
              </w:rPr>
              <w:t>巡视巡察与数据科学</w:t>
            </w:r>
          </w:p>
        </w:tc>
        <w:tc>
          <w:tcPr>
            <w:tcW w:w="5922" w:type="dxa"/>
            <w:tcBorders>
              <w:top w:val="single" w:sz="4" w:space="0" w:color="auto"/>
              <w:bottom w:val="single" w:sz="4" w:space="0" w:color="auto"/>
            </w:tcBorders>
            <w:vAlign w:val="center"/>
          </w:tcPr>
          <w:p w14:paraId="10E0A370" w14:textId="656F89EA" w:rsidR="009B4B29" w:rsidRDefault="0098712A" w:rsidP="009B4B29">
            <w:pPr>
              <w:widowControl/>
              <w:jc w:val="left"/>
              <w:rPr>
                <w:rFonts w:ascii="仿宋_GB2312" w:eastAsia="仿宋_GB2312" w:hAnsi="仿宋_GB2312" w:cs="仿宋_GB2312"/>
                <w:bCs/>
                <w:sz w:val="21"/>
                <w:szCs w:val="21"/>
              </w:rPr>
            </w:pPr>
            <w:r>
              <w:rPr>
                <w:rFonts w:ascii="宋体" w:hAnsi="宋体" w:cs="微软雅黑" w:hint="eastAsia"/>
                <w:sz w:val="24"/>
              </w:rPr>
              <w:t>将巡视巡察专业知识与数据科学技术结合，融合政治学、公共管理学与数据科学的理论方法，聚焦数据驱动技术革新传统巡视巡察机制，探索应用大数据分析、自然语言处理、预测建模等数据科学技术提升巡视巡察效能与客观性，旨在帮助学生掌握数据分析、数据挖掘等基本技能，并能够将这些技能应用于巡视巡察工作中，分析数据伦理和算法问责在监督场景中的挑战。</w:t>
            </w:r>
          </w:p>
        </w:tc>
      </w:tr>
      <w:tr w:rsidR="009B4B29" w14:paraId="070D6DA1" w14:textId="77777777" w:rsidTr="0098712A">
        <w:trPr>
          <w:trHeight w:hRule="exact" w:val="2384"/>
          <w:jc w:val="center"/>
        </w:trPr>
        <w:tc>
          <w:tcPr>
            <w:tcW w:w="1110" w:type="dxa"/>
            <w:vAlign w:val="center"/>
          </w:tcPr>
          <w:p w14:paraId="3BD08FA6" w14:textId="77777777" w:rsidR="009B4B29" w:rsidRDefault="009B4B29" w:rsidP="009B4B29">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4</w:t>
            </w:r>
          </w:p>
        </w:tc>
        <w:tc>
          <w:tcPr>
            <w:tcW w:w="2118" w:type="dxa"/>
            <w:vAlign w:val="center"/>
          </w:tcPr>
          <w:p w14:paraId="514217D3" w14:textId="4ECA4642" w:rsidR="009B4B29" w:rsidRDefault="0098712A" w:rsidP="0098712A">
            <w:pPr>
              <w:widowControl/>
              <w:jc w:val="left"/>
              <w:rPr>
                <w:rFonts w:ascii="仿宋_GB2312" w:eastAsia="仿宋_GB2312" w:hAnsi="仿宋_GB2312" w:cs="仿宋_GB2312"/>
                <w:bCs/>
                <w:sz w:val="21"/>
                <w:szCs w:val="21"/>
              </w:rPr>
            </w:pPr>
            <w:r>
              <w:rPr>
                <w:rFonts w:ascii="宋体" w:hAnsi="宋体" w:cs="微软雅黑" w:hint="eastAsia"/>
                <w:sz w:val="24"/>
              </w:rPr>
              <w:t>党内法规学</w:t>
            </w:r>
          </w:p>
        </w:tc>
        <w:tc>
          <w:tcPr>
            <w:tcW w:w="5922" w:type="dxa"/>
            <w:tcBorders>
              <w:top w:val="single" w:sz="4" w:space="0" w:color="auto"/>
              <w:bottom w:val="single" w:sz="4" w:space="0" w:color="auto"/>
            </w:tcBorders>
            <w:vAlign w:val="center"/>
          </w:tcPr>
          <w:p w14:paraId="1F61B814" w14:textId="369AAB98" w:rsidR="009B4B29" w:rsidRDefault="0098712A" w:rsidP="009B4B29">
            <w:pPr>
              <w:widowControl/>
              <w:jc w:val="left"/>
              <w:rPr>
                <w:rFonts w:ascii="仿宋_GB2312" w:eastAsia="仿宋_GB2312" w:hAnsi="仿宋_GB2312" w:cs="仿宋_GB2312"/>
                <w:bCs/>
                <w:sz w:val="21"/>
                <w:szCs w:val="21"/>
              </w:rPr>
            </w:pPr>
            <w:r>
              <w:rPr>
                <w:rFonts w:ascii="宋体" w:hAnsi="宋体" w:cs="微软雅黑" w:hint="eastAsia"/>
                <w:sz w:val="24"/>
              </w:rPr>
              <w:t>旨在系统传授党内法规学的基础理论、核心知识与实践技能。一方面，引导学生深入探究党内法规的内涵、外延、历史演进、体系架构等理论要点，构建扎实的知识根基；另一方面，通过案例剖析、实践调研等教学环节，培养学生运用党内法规分析、解决党内治理及党与国家法治协同等现实问题的能力，为党和国家培养熟悉党内法规运作、具备法治思维的高层次专业人才。</w:t>
            </w:r>
          </w:p>
        </w:tc>
      </w:tr>
      <w:tr w:rsidR="009B4B29" w14:paraId="1D179230" w14:textId="77777777" w:rsidTr="0098712A">
        <w:trPr>
          <w:trHeight w:hRule="exact" w:val="2989"/>
          <w:jc w:val="center"/>
        </w:trPr>
        <w:tc>
          <w:tcPr>
            <w:tcW w:w="1110" w:type="dxa"/>
            <w:vAlign w:val="center"/>
          </w:tcPr>
          <w:p w14:paraId="00DFAFF9" w14:textId="77777777" w:rsidR="009B4B29" w:rsidRDefault="009B4B29" w:rsidP="009B4B29">
            <w:pPr>
              <w:widowControl/>
              <w:jc w:val="center"/>
              <w:rPr>
                <w:rFonts w:ascii="仿宋_GB2312" w:eastAsia="仿宋_GB2312" w:hAnsi="仿宋_GB2312" w:cs="仿宋_GB2312"/>
                <w:bCs/>
                <w:sz w:val="21"/>
                <w:szCs w:val="21"/>
              </w:rPr>
            </w:pPr>
            <w:r>
              <w:rPr>
                <w:rFonts w:ascii="仿宋_GB2312" w:eastAsia="仿宋_GB2312" w:hAnsi="仿宋_GB2312" w:cs="仿宋_GB2312" w:hint="eastAsia"/>
                <w:bCs/>
                <w:sz w:val="21"/>
                <w:szCs w:val="21"/>
              </w:rPr>
              <w:t>5</w:t>
            </w:r>
          </w:p>
        </w:tc>
        <w:tc>
          <w:tcPr>
            <w:tcW w:w="2118" w:type="dxa"/>
            <w:vAlign w:val="center"/>
          </w:tcPr>
          <w:p w14:paraId="444EB702" w14:textId="50459C90" w:rsidR="009B4B29" w:rsidRDefault="0098712A" w:rsidP="0098712A">
            <w:pPr>
              <w:widowControl/>
              <w:jc w:val="left"/>
              <w:rPr>
                <w:rFonts w:ascii="仿宋_GB2312" w:eastAsia="仿宋_GB2312" w:hAnsi="仿宋_GB2312" w:cs="仿宋_GB2312"/>
                <w:bCs/>
                <w:sz w:val="21"/>
                <w:szCs w:val="21"/>
              </w:rPr>
            </w:pPr>
            <w:r>
              <w:rPr>
                <w:rFonts w:ascii="宋体" w:hAnsi="宋体" w:cs="微软雅黑" w:hint="eastAsia"/>
                <w:sz w:val="24"/>
              </w:rPr>
              <w:t>巡视巡察实务与公文写作</w:t>
            </w:r>
          </w:p>
        </w:tc>
        <w:tc>
          <w:tcPr>
            <w:tcW w:w="5922" w:type="dxa"/>
            <w:tcBorders>
              <w:top w:val="single" w:sz="4" w:space="0" w:color="auto"/>
              <w:bottom w:val="single" w:sz="4" w:space="0" w:color="auto"/>
            </w:tcBorders>
            <w:vAlign w:val="center"/>
          </w:tcPr>
          <w:p w14:paraId="05B090FE" w14:textId="4FDEC6A1" w:rsidR="009B4B29" w:rsidRDefault="0098712A" w:rsidP="009B4B29">
            <w:pPr>
              <w:widowControl/>
              <w:jc w:val="left"/>
              <w:rPr>
                <w:rFonts w:ascii="仿宋_GB2312" w:eastAsia="仿宋_GB2312" w:hAnsi="仿宋_GB2312" w:cs="仿宋_GB2312"/>
                <w:bCs/>
                <w:sz w:val="21"/>
                <w:szCs w:val="21"/>
              </w:rPr>
            </w:pPr>
            <w:r>
              <w:rPr>
                <w:rFonts w:ascii="宋体" w:hAnsi="宋体" w:cs="微软雅黑" w:hint="eastAsia"/>
                <w:sz w:val="24"/>
              </w:rPr>
              <w:t>充分总结运用新时代巡视理论创新、实践创新和制度创新成果，对巡视巡察工作流程和方式方法进行系统梳理和学理阐释，对学生进行以真实巡视巡察实务操作为基础的职业知识、技能和价值培养。课程内容涵盖巡视准备、现场巡视、巡</w:t>
            </w:r>
            <w:bookmarkStart w:id="3" w:name="_GoBack"/>
            <w:bookmarkEnd w:id="3"/>
            <w:r>
              <w:rPr>
                <w:rFonts w:ascii="宋体" w:hAnsi="宋体" w:cs="微软雅黑" w:hint="eastAsia"/>
                <w:sz w:val="24"/>
              </w:rPr>
              <w:t>视报告、巡视反馈、巡视移交、巡视整改六大工作环节，全面讲解各环节主要任务、程序步骤、实践做法和注意事项，并对其中的听取汇报、个别谈话、调阅资料、受理信访、下沉调研、提请协助等方式方法，从概念、作用、工作要求等方面进行详细解析。</w:t>
            </w:r>
          </w:p>
        </w:tc>
      </w:tr>
    </w:tbl>
    <w:p w14:paraId="0F1F4C57" w14:textId="77777777" w:rsidR="004F485C" w:rsidRDefault="004F485C"/>
    <w:sectPr w:rsidR="004F485C">
      <w:pgSz w:w="11906" w:h="16838"/>
      <w:pgMar w:top="1134" w:right="1418" w:bottom="1134" w:left="1418" w:header="851" w:footer="454"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E5MmIxMDA0NmUxMTI3OTI0ODcyOTk2MmYwM2I1NGIifQ=="/>
  </w:docVars>
  <w:rsids>
    <w:rsidRoot w:val="0AE32D0C"/>
    <w:rsid w:val="000703B8"/>
    <w:rsid w:val="0007770F"/>
    <w:rsid w:val="001D40F7"/>
    <w:rsid w:val="001E18A9"/>
    <w:rsid w:val="002D1061"/>
    <w:rsid w:val="00372B72"/>
    <w:rsid w:val="00381A54"/>
    <w:rsid w:val="004B5A3E"/>
    <w:rsid w:val="004F485C"/>
    <w:rsid w:val="005545E7"/>
    <w:rsid w:val="00597148"/>
    <w:rsid w:val="005D0C17"/>
    <w:rsid w:val="00757B4D"/>
    <w:rsid w:val="008C1075"/>
    <w:rsid w:val="00972F39"/>
    <w:rsid w:val="0098712A"/>
    <w:rsid w:val="009B1FE8"/>
    <w:rsid w:val="009B4B29"/>
    <w:rsid w:val="009F6304"/>
    <w:rsid w:val="00B348CD"/>
    <w:rsid w:val="00BC45A1"/>
    <w:rsid w:val="00CC3575"/>
    <w:rsid w:val="00D529C8"/>
    <w:rsid w:val="00DB7AED"/>
    <w:rsid w:val="00F16F11"/>
    <w:rsid w:val="02641DFB"/>
    <w:rsid w:val="06300FCF"/>
    <w:rsid w:val="09954E0D"/>
    <w:rsid w:val="0AE32D0C"/>
    <w:rsid w:val="0AF85A36"/>
    <w:rsid w:val="0FB93D29"/>
    <w:rsid w:val="10A75028"/>
    <w:rsid w:val="1165300E"/>
    <w:rsid w:val="175A6EDF"/>
    <w:rsid w:val="1EEF22CE"/>
    <w:rsid w:val="21BF3E1B"/>
    <w:rsid w:val="2342170A"/>
    <w:rsid w:val="23D031BA"/>
    <w:rsid w:val="27054585"/>
    <w:rsid w:val="2D572256"/>
    <w:rsid w:val="35B30245"/>
    <w:rsid w:val="3D7106DB"/>
    <w:rsid w:val="45B42AAD"/>
    <w:rsid w:val="45EC7588"/>
    <w:rsid w:val="46E13E64"/>
    <w:rsid w:val="47170634"/>
    <w:rsid w:val="49530C2E"/>
    <w:rsid w:val="496038EF"/>
    <w:rsid w:val="499B72F7"/>
    <w:rsid w:val="53966503"/>
    <w:rsid w:val="591744C4"/>
    <w:rsid w:val="5C2667BC"/>
    <w:rsid w:val="60E0197E"/>
    <w:rsid w:val="6221580D"/>
    <w:rsid w:val="64844FF7"/>
    <w:rsid w:val="649F2FD7"/>
    <w:rsid w:val="687B4BF8"/>
    <w:rsid w:val="6ABC6060"/>
    <w:rsid w:val="6EDB52A7"/>
    <w:rsid w:val="76BE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CDCB7"/>
  <w15:docId w15:val="{AEFDE1DD-35D3-4F3E-9329-90EBEB88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508972">
      <w:bodyDiv w:val="1"/>
      <w:marLeft w:val="0"/>
      <w:marRight w:val="0"/>
      <w:marTop w:val="0"/>
      <w:marBottom w:val="0"/>
      <w:divBdr>
        <w:top w:val="none" w:sz="0" w:space="0" w:color="auto"/>
        <w:left w:val="none" w:sz="0" w:space="0" w:color="auto"/>
        <w:bottom w:val="none" w:sz="0" w:space="0" w:color="auto"/>
        <w:right w:val="none" w:sz="0" w:space="0" w:color="auto"/>
      </w:divBdr>
    </w:div>
    <w:div w:id="164169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Shine_ZHOU</dc:creator>
  <cp:lastModifiedBy>lenovo</cp:lastModifiedBy>
  <cp:revision>20</cp:revision>
  <dcterms:created xsi:type="dcterms:W3CDTF">2023-05-06T03:14:00Z</dcterms:created>
  <dcterms:modified xsi:type="dcterms:W3CDTF">2026-03-01T04:44:00Z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89BE444AC31A41DE92AD2CE08303C9EE</vt:lpwstr>
  </property>
  <property fmtid="{D5CDD505-2E9C-101B-9397-08002B2CF9AE}" pid="4" name="KSOTemplateDocerSaveRecord">
    <vt:lpwstr>eyJoZGlkIjoiYjg0ZmExYTU3NGNlM2UyZTU5MWI3NmNjMzkxODEwNzUiLCJ1c2VySWQiOiIzNzg0ODI4OTgifQ==</vt:lpwstr>
  </property>
</Properties>
</file>